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D38EE">
      <w:pPr>
        <w:widowControl/>
        <w:jc w:val="center"/>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辅城坳社区2024年年终总结</w:t>
      </w:r>
    </w:p>
    <w:p w14:paraId="207E4AB8">
      <w:pPr>
        <w:widowControl/>
        <w:jc w:val="left"/>
        <w:rPr>
          <w:rFonts w:ascii="仿宋_GB2312" w:hAnsi="仿宋_GB2312" w:eastAsia="仿宋_GB2312" w:cs="仿宋_GB2312"/>
          <w:kern w:val="0"/>
          <w:sz w:val="32"/>
          <w:szCs w:val="32"/>
        </w:rPr>
      </w:pPr>
    </w:p>
    <w:p w14:paraId="1F2B0C57">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2024年，在街道党工委、办事处的正确指导和大力支持下，社区积极响应上级各项工作部署和指示精神，全面强化党的建设，坚持党建引领服务创新，紧抓安全生产、综治维稳、市容整治、便民服务、民生建设，全力推进辅城坳土地整备利益统筹项目，全面完成各项工作目标任务。现将2024年工作总结、存在困难及2025年工作计划汇报如下：</w:t>
      </w:r>
    </w:p>
    <w:p w14:paraId="66E5A44B">
      <w:pPr>
        <w:numPr>
          <w:ilvl w:val="0"/>
          <w:numId w:val="1"/>
        </w:numPr>
        <w:ind w:firstLine="640"/>
        <w:jc w:val="left"/>
        <w:rPr>
          <w:rFonts w:ascii="黑体" w:hAnsi="黑体" w:eastAsia="黑体" w:cs="黑体"/>
          <w:sz w:val="32"/>
          <w:szCs w:val="32"/>
        </w:rPr>
      </w:pPr>
      <w:r>
        <w:rPr>
          <w:rFonts w:hint="eastAsia" w:ascii="黑体" w:hAnsi="黑体" w:eastAsia="黑体" w:cs="黑体"/>
          <w:sz w:val="32"/>
          <w:szCs w:val="32"/>
        </w:rPr>
        <w:t>加强党的建设引领，深化全面从严治党</w:t>
      </w:r>
    </w:p>
    <w:p w14:paraId="126FDE21">
      <w:pPr>
        <w:ind w:firstLine="640" w:firstLineChars="200"/>
        <w:jc w:val="left"/>
        <w:rPr>
          <w:rFonts w:ascii="仿宋_GB2312" w:hAnsi="仿宋_GB2312" w:eastAsia="仿宋_GB2312" w:cs="仿宋_GB2312"/>
          <w:color w:val="18605A" w:themeColor="accent5" w:themeShade="80"/>
          <w:sz w:val="32"/>
          <w:szCs w:val="32"/>
        </w:rPr>
      </w:pPr>
      <w:r>
        <w:rPr>
          <w:rFonts w:hint="eastAsia" w:ascii="楷体" w:hAnsi="楷体" w:eastAsia="楷体" w:cs="楷体"/>
          <w:sz w:val="32"/>
          <w:szCs w:val="32"/>
        </w:rPr>
        <w:t>（一）深化政治理论学习，夯实思想政治基石。</w:t>
      </w:r>
      <w:r>
        <w:rPr>
          <w:rFonts w:hint="eastAsia" w:ascii="仿宋_GB2312" w:hAnsi="仿宋_GB2312" w:eastAsia="仿宋_GB2312" w:cs="仿宋_GB2312"/>
          <w:sz w:val="32"/>
          <w:szCs w:val="32"/>
        </w:rPr>
        <w:t>社区党委始终坚持以习近平新时代中国特色社会主义思想为根本遵循，全面贯彻落实党的二十大精神及二十届二中全会、三中全会精神、新时代党的建设总要求和组织路线，以党的政治建设为根本统领，深入贯彻习近平总书记重要指示批示精神，切实提升党员干部的政治素养，坚定政治立场，用实际行动坚定拥护“两个确立”、坚决做到“两个维护”，确保政治要求贯穿工作全过程、落实到每个环节。</w:t>
      </w:r>
      <w:r>
        <w:rPr>
          <w:rFonts w:hint="eastAsia" w:ascii="楷体" w:hAnsi="楷体" w:eastAsia="楷体" w:cs="仿宋_GB2312"/>
          <w:b/>
          <w:bCs/>
          <w:sz w:val="32"/>
          <w:szCs w:val="32"/>
        </w:rPr>
        <w:t>一是抓实抓好理论学习。</w:t>
      </w:r>
      <w:r>
        <w:rPr>
          <w:rFonts w:hint="eastAsia" w:ascii="仿宋_GB2312" w:hAnsi="仿宋_GB2312" w:eastAsia="仿宋_GB2312" w:cs="仿宋_GB2312"/>
          <w:sz w:val="32"/>
          <w:szCs w:val="32"/>
        </w:rPr>
        <w:t>通过第一议题、“三会一课”、主题党日活动等形式抓牢政治理论学习，在内容创新、形式多样、成效转化方面下足功夫，切实把思想理论学习、党性锻炼强化、党员教育管理落到实处。</w:t>
      </w:r>
      <w:r>
        <w:rPr>
          <w:rFonts w:hint="eastAsia" w:ascii="楷体" w:hAnsi="楷体" w:eastAsia="楷体" w:cs="仿宋_GB2312"/>
          <w:b/>
          <w:bCs/>
          <w:sz w:val="32"/>
          <w:szCs w:val="32"/>
        </w:rPr>
        <w:t>二是开展党纪学习教育。</w:t>
      </w:r>
      <w:r>
        <w:rPr>
          <w:rFonts w:hint="eastAsia" w:ascii="仿宋_GB2312" w:hAnsi="仿宋_GB2312" w:eastAsia="仿宋_GB2312" w:cs="仿宋_GB2312"/>
          <w:sz w:val="32"/>
          <w:szCs w:val="32"/>
        </w:rPr>
        <w:t>紧扣开展党纪学习教育的主题主线、锚定目标任务，以线上线下学相结合、集中学和个人学相结合等形式，组织党员干部原原本本学《条例》，引导党员干部准确掌握党的“六项纪律”的主旨要义和规定要求，不断增强纪律意识、提高党性修养。</w:t>
      </w:r>
      <w:r>
        <w:rPr>
          <w:rFonts w:hint="eastAsia" w:ascii="楷体" w:hAnsi="楷体" w:eastAsia="楷体" w:cs="仿宋_GB2312"/>
          <w:b/>
          <w:bCs/>
          <w:sz w:val="32"/>
          <w:szCs w:val="32"/>
        </w:rPr>
        <w:t>三是</w:t>
      </w:r>
      <w:r>
        <w:rPr>
          <w:rFonts w:hint="eastAsia" w:ascii="楷体" w:hAnsi="楷体" w:eastAsia="楷体" w:cs="仿宋_GB2312"/>
          <w:b/>
          <w:sz w:val="32"/>
          <w:szCs w:val="32"/>
        </w:rPr>
        <w:t>做好意识形态工作。</w:t>
      </w:r>
      <w:r>
        <w:rPr>
          <w:rFonts w:hint="eastAsia" w:ascii="仿宋_GB2312" w:hAnsi="仿宋_GB2312" w:eastAsia="仿宋_GB2312" w:cs="仿宋_GB2312"/>
          <w:sz w:val="32"/>
          <w:szCs w:val="32"/>
        </w:rPr>
        <w:t>充分认识做好意识形态工作的极端重要性，强化意识形态理论学习，旗帜鲜明地站在意识形态工作第一线，带头管理阵地，把导向、强队伍, 常态化落实重点区域、宣传阵地监管等各项工作，坚决筑牢意识形态责任防线。</w:t>
      </w:r>
    </w:p>
    <w:p w14:paraId="7BC2FD02">
      <w:pPr>
        <w:autoSpaceDE w:val="0"/>
        <w:autoSpaceDN w:val="0"/>
        <w:adjustRightInd w:val="0"/>
        <w:ind w:firstLine="640" w:firstLineChars="200"/>
        <w:jc w:val="left"/>
        <w:rPr>
          <w:rFonts w:ascii="仿宋_GB2312" w:hAnsi="仿宋" w:eastAsia="仿宋_GB2312" w:cs="楷体"/>
          <w:kern w:val="0"/>
          <w:sz w:val="32"/>
          <w:szCs w:val="32"/>
        </w:rPr>
      </w:pPr>
      <w:r>
        <w:rPr>
          <w:rFonts w:hint="eastAsia" w:ascii="楷体" w:hAnsi="楷体" w:eastAsia="楷体" w:cs="楷体"/>
          <w:sz w:val="32"/>
          <w:szCs w:val="32"/>
        </w:rPr>
        <w:t>（二）严抓党风廉政建设，提升作风建设成效。</w:t>
      </w:r>
      <w:r>
        <w:rPr>
          <w:rFonts w:hint="eastAsia" w:ascii="仿宋_GB2312" w:hAnsi="仿宋" w:eastAsia="仿宋_GB2312" w:cs="仿宋_GB2312"/>
          <w:kern w:val="0"/>
          <w:sz w:val="32"/>
          <w:szCs w:val="32"/>
        </w:rPr>
        <w:t>全面落实党中央关于党风廉政建设的各项决策部署，</w:t>
      </w:r>
      <w:r>
        <w:rPr>
          <w:rFonts w:hint="eastAsia" w:ascii="仿宋_GB2312" w:hAnsi="仿宋_GB2312" w:eastAsia="仿宋_GB2312" w:cs="仿宋_GB2312"/>
          <w:sz w:val="32"/>
          <w:szCs w:val="32"/>
        </w:rPr>
        <w:t>自觉扛牢全面从严治党政治责任，严格落实中央八项规定精神及其实施细则，</w:t>
      </w:r>
      <w:r>
        <w:rPr>
          <w:rFonts w:hint="eastAsia" w:ascii="仿宋_GB2312" w:hAnsi="仿宋" w:eastAsia="仿宋_GB2312" w:cs="仿宋_GB2312"/>
          <w:kern w:val="0"/>
          <w:sz w:val="32"/>
          <w:szCs w:val="32"/>
        </w:rPr>
        <w:t>纵深推进党风廉政建设和反腐败工作</w:t>
      </w:r>
      <w:r>
        <w:rPr>
          <w:rFonts w:hint="eastAsia" w:ascii="仿宋_GB2312" w:hAnsi="仿宋_GB2312" w:eastAsia="仿宋_GB2312" w:cs="仿宋_GB2312"/>
          <w:sz w:val="32"/>
          <w:szCs w:val="32"/>
        </w:rPr>
        <w:t>，</w:t>
      </w:r>
      <w:r>
        <w:rPr>
          <w:rFonts w:hint="eastAsia" w:ascii="仿宋_GB2312" w:hAnsi="仿宋" w:eastAsia="仿宋_GB2312" w:cs="仿宋_GB2312"/>
          <w:kern w:val="0"/>
          <w:sz w:val="32"/>
          <w:szCs w:val="32"/>
        </w:rPr>
        <w:t>营造风清气正的政治生态。</w:t>
      </w:r>
      <w:r>
        <w:rPr>
          <w:rFonts w:hint="eastAsia" w:ascii="楷体" w:hAnsi="楷体" w:eastAsia="楷体" w:cs="仿宋_GB2312"/>
          <w:b/>
          <w:bCs/>
          <w:sz w:val="32"/>
          <w:szCs w:val="32"/>
        </w:rPr>
        <w:t>一是切实履行社区纪委责任。</w:t>
      </w:r>
      <w:r>
        <w:rPr>
          <w:rFonts w:hint="eastAsia" w:ascii="仿宋_GB2312" w:hAnsi="仿宋" w:eastAsia="仿宋_GB2312" w:cs="仿宋_GB2312"/>
          <w:kern w:val="0"/>
          <w:sz w:val="32"/>
          <w:szCs w:val="32"/>
        </w:rPr>
        <w:t>充分运用班子成员“交叉任职”机制，参与社区重大会议、股份公司“三会”等，</w:t>
      </w:r>
      <w:r>
        <w:rPr>
          <w:rFonts w:hint="eastAsia" w:ascii="仿宋_GB2312" w:hAnsi="仿宋_GB2312" w:eastAsia="仿宋_GB2312" w:cs="仿宋_GB2312"/>
          <w:sz w:val="32"/>
          <w:szCs w:val="32"/>
        </w:rPr>
        <w:t>监督掌握社区“三重一大”“民生大盆菜” 等事项情况以及社区整体工作开展情况，强化廉洁风险防控和管理。</w:t>
      </w:r>
      <w:r>
        <w:rPr>
          <w:rFonts w:hint="eastAsia" w:ascii="楷体" w:hAnsi="楷体" w:eastAsia="楷体" w:cs="仿宋_GB2312"/>
          <w:b/>
          <w:bCs/>
          <w:sz w:val="32"/>
          <w:szCs w:val="32"/>
        </w:rPr>
        <w:t>二是强化党风廉政宣传教育。</w:t>
      </w:r>
      <w:r>
        <w:rPr>
          <w:rFonts w:hint="eastAsia" w:ascii="仿宋_GB2312" w:hAnsi="仿宋" w:eastAsia="仿宋_GB2312" w:cs="楷体"/>
          <w:kern w:val="0"/>
          <w:sz w:val="32"/>
          <w:szCs w:val="32"/>
        </w:rPr>
        <w:t>及时传达学习中央、省、市、区廉政会议精神和街道纪工委关于重要节点相关纪律要求，传达学习各类违法违纪案件通报，定期召开党风廉政建设会议，组织开展廉政教育活动， 注重在节前节后开展廉政提醒，及时更新修复辅城坳公园廉政文化宣传标识，不断强化社区全体人员纪律规矩意识，绷紧廉洁自律之弦。2024年，共开展廉政提醒4次，组织开展4场警示教育片观看活动、3场廉政作品展参观活动、3场廉政教育主题场馆实地参观学习。</w:t>
      </w:r>
      <w:r>
        <w:rPr>
          <w:rFonts w:hint="eastAsia" w:ascii="楷体" w:hAnsi="楷体" w:eastAsia="楷体" w:cs="仿宋_GB2312"/>
          <w:b/>
          <w:bCs/>
          <w:sz w:val="32"/>
          <w:szCs w:val="32"/>
        </w:rPr>
        <w:t>三是推进作风建设长效化。</w:t>
      </w:r>
      <w:r>
        <w:rPr>
          <w:rFonts w:hint="eastAsia" w:ascii="仿宋_GB2312" w:hAnsi="仿宋_GB2312" w:eastAsia="仿宋_GB2312" w:cs="仿宋_GB2312"/>
          <w:sz w:val="32"/>
          <w:szCs w:val="32"/>
        </w:rPr>
        <w:t>坚持不懈抓队伍建设、抓纪律、抓管理，</w:t>
      </w:r>
      <w:r>
        <w:rPr>
          <w:rFonts w:hint="eastAsia" w:ascii="仿宋_GB2312" w:hAnsi="仿宋" w:eastAsia="仿宋_GB2312" w:cs="楷体"/>
          <w:kern w:val="0"/>
          <w:sz w:val="32"/>
          <w:szCs w:val="32"/>
        </w:rPr>
        <w:t>压实“两个责任”，明确党组织主体责任和纪检组织监督责任，社区纪委完善规范化建设工作，通过开展谈话提醒等方式，加强日常巡查和监督，落实每月纪委工作例会机制，层层传导压力，确保责任落实到位，</w:t>
      </w:r>
      <w:r>
        <w:rPr>
          <w:rFonts w:hint="eastAsia" w:ascii="仿宋_GB2312" w:hAnsi="仿宋_GB2312" w:eastAsia="仿宋_GB2312" w:cs="仿宋_GB2312"/>
          <w:sz w:val="32"/>
          <w:szCs w:val="32"/>
        </w:rPr>
        <w:t>以严明的纪律提升工作执行力</w:t>
      </w:r>
      <w:r>
        <w:rPr>
          <w:rFonts w:hint="eastAsia" w:ascii="仿宋_GB2312" w:hAnsi="仿宋" w:eastAsia="仿宋_GB2312" w:cs="楷体"/>
          <w:kern w:val="0"/>
          <w:sz w:val="32"/>
          <w:szCs w:val="32"/>
        </w:rPr>
        <w:t>。2024年，共计开展明察暗访25次，监督检查社区日常工作共计82次，开展谈话提醒22人次。</w:t>
      </w:r>
    </w:p>
    <w:p w14:paraId="134B290B">
      <w:pPr>
        <w:tabs>
          <w:tab w:val="left" w:pos="709"/>
        </w:tabs>
        <w:ind w:firstLine="640" w:firstLineChars="200"/>
        <w:jc w:val="left"/>
        <w:rPr>
          <w:rFonts w:ascii="仿宋_GB2312" w:hAnsi="仿宋_GB2312" w:eastAsia="仿宋_GB2312" w:cs="仿宋_GB2312"/>
          <w:color w:val="843F0B" w:themeColor="accent2" w:themeShade="80"/>
          <w:sz w:val="32"/>
          <w:szCs w:val="32"/>
        </w:rPr>
      </w:pPr>
      <w:r>
        <w:rPr>
          <w:rFonts w:hint="eastAsia" w:ascii="楷体" w:hAnsi="楷体" w:eastAsia="楷体" w:cs="楷体"/>
          <w:sz w:val="32"/>
          <w:szCs w:val="32"/>
        </w:rPr>
        <w:t>（三）深抓基层组织建设，打造坚强战斗堡垒。</w:t>
      </w:r>
      <w:r>
        <w:rPr>
          <w:rFonts w:hint="eastAsia" w:ascii="仿宋_GB2312" w:hAnsi="仿宋_GB2312" w:eastAsia="仿宋_GB2312" w:cs="仿宋_GB2312"/>
          <w:sz w:val="32"/>
          <w:szCs w:val="32"/>
        </w:rPr>
        <w:t>全面推动组织建设各项工作走深走实，持续加强队伍建设，打造具有强大凝聚力、战斗力和创新力的党员队伍，夯实组织战斗堡垒。</w:t>
      </w:r>
      <w:r>
        <w:rPr>
          <w:rFonts w:hint="eastAsia" w:ascii="楷体" w:hAnsi="楷体" w:eastAsia="楷体" w:cs="仿宋_GB2312"/>
          <w:b/>
          <w:bCs/>
          <w:sz w:val="32"/>
          <w:szCs w:val="32"/>
        </w:rPr>
        <w:t>一是做好“三新领域”党建工作。</w:t>
      </w:r>
      <w:r>
        <w:rPr>
          <w:rFonts w:hint="eastAsia" w:ascii="仿宋_GB2312" w:hAnsi="仿宋_GB2312" w:eastAsia="仿宋_GB2312" w:cs="仿宋_GB2312"/>
          <w:sz w:val="32"/>
          <w:szCs w:val="32"/>
        </w:rPr>
        <w:t>聚焦党建“三同步”工作责任和任务目标，通过企业走访、座谈会、问卷调查等，对辖区749家非公企业进行全面摸排，掌握辖区非公企业的基本情况动态，今年已圆满完成7个组建指标。</w:t>
      </w:r>
      <w:r>
        <w:rPr>
          <w:rFonts w:hint="eastAsia" w:ascii="楷体" w:hAnsi="楷体" w:eastAsia="楷体" w:cs="仿宋_GB2312"/>
          <w:b/>
          <w:bCs/>
          <w:sz w:val="32"/>
          <w:szCs w:val="32"/>
        </w:rPr>
        <w:t>二是加强党员教育管理。</w:t>
      </w:r>
      <w:r>
        <w:rPr>
          <w:rFonts w:hint="eastAsia" w:ascii="仿宋_GB2312" w:hAnsi="仿宋_GB2312" w:eastAsia="仿宋_GB2312" w:cs="仿宋_GB2312"/>
          <w:sz w:val="32"/>
          <w:szCs w:val="32"/>
        </w:rPr>
        <w:t>指导并督促各党支部严格落实组织生活制度、民主评议等党内制度，定期与支部书记、党员谈心谈话，检查各支部学习、活动开展情况，依托智慧党建系统，深入了解支部及党员的动态，同时做好党员“双报到”及流动党员管理服务等工作，增强其归属感。</w:t>
      </w:r>
      <w:r>
        <w:rPr>
          <w:rFonts w:hint="eastAsia" w:ascii="楷体" w:hAnsi="楷体" w:eastAsia="楷体" w:cs="仿宋_GB2312"/>
          <w:b/>
          <w:bCs/>
          <w:sz w:val="32"/>
          <w:szCs w:val="32"/>
        </w:rPr>
        <w:t>三是做好青春党建工作。</w:t>
      </w:r>
      <w:r>
        <w:rPr>
          <w:rFonts w:hint="eastAsia" w:ascii="仿宋_GB2312" w:hAnsi="仿宋_GB2312" w:eastAsia="仿宋_GB2312" w:cs="仿宋_GB2312"/>
          <w:sz w:val="32"/>
          <w:szCs w:val="32"/>
        </w:rPr>
        <w:t>凝“青”聚力，护“青”成长，成立社区青春党支部，常态化开展“思政课堂”理论宣讲、青年党员“志愿行”等活动，培养青年党员初心使命，加强青年党员向心力，提升基层党组织的力量。</w:t>
      </w:r>
      <w:r>
        <w:rPr>
          <w:rFonts w:hint="eastAsia" w:ascii="楷体" w:hAnsi="楷体" w:eastAsia="楷体" w:cs="仿宋_GB2312"/>
          <w:b/>
          <w:bCs/>
          <w:sz w:val="32"/>
          <w:szCs w:val="32"/>
        </w:rPr>
        <w:t>四是促进党建引领商圈发展。</w:t>
      </w:r>
      <w:r>
        <w:rPr>
          <w:rFonts w:hint="eastAsia" w:ascii="仿宋_GB2312" w:hAnsi="仿宋_GB2312" w:eastAsia="仿宋_GB2312" w:cs="仿宋_GB2312"/>
          <w:sz w:val="32"/>
          <w:szCs w:val="32"/>
        </w:rPr>
        <w:t>依托平湖街道北部商圈，打响融湖广场“后起之秀”品牌，通过链接整合资源，开展“党建引领六进商圈”暨禾花美术展览走进融湖广场活动，近距离向商圈企业、商户问需求、送政策、送服务，以活动增活力，提振商圈人气，助力商圈经济发展。</w:t>
      </w:r>
    </w:p>
    <w:p w14:paraId="3AEDD000">
      <w:pPr>
        <w:tabs>
          <w:tab w:val="left" w:pos="5880"/>
        </w:tabs>
        <w:ind w:firstLine="640" w:firstLineChars="200"/>
        <w:jc w:val="left"/>
        <w:rPr>
          <w:rFonts w:ascii="仿宋_GB2312" w:hAnsi="仿宋_GB2312" w:eastAsia="仿宋_GB2312" w:cs="仿宋_GB2312"/>
          <w:color w:val="843F0B" w:themeColor="accent2" w:themeShade="80"/>
          <w:sz w:val="32"/>
          <w:szCs w:val="32"/>
        </w:rPr>
      </w:pPr>
      <w:r>
        <w:rPr>
          <w:rFonts w:hint="eastAsia" w:ascii="楷体" w:hAnsi="楷体" w:eastAsia="楷体" w:cs="楷体"/>
          <w:sz w:val="32"/>
          <w:szCs w:val="32"/>
        </w:rPr>
        <w:t>（四）党建引领凝聚合力，助推服务效能升级。</w:t>
      </w:r>
      <w:r>
        <w:rPr>
          <w:rFonts w:hint="eastAsia" w:ascii="仿宋_GB2312" w:hAnsi="仿宋_GB2312" w:eastAsia="仿宋_GB2312" w:cs="仿宋_GB2312"/>
          <w:sz w:val="32"/>
          <w:szCs w:val="32"/>
        </w:rPr>
        <w:t>深入贯彻落实习近平总书记关于做好群众工作的重要论述精神，践行全心全意为人民服务的根本宗旨，以更多惠民生、暖民心的举措，构建共建共治共享基层治理格局。</w:t>
      </w:r>
      <w:r>
        <w:rPr>
          <w:rFonts w:hint="eastAsia" w:ascii="楷体" w:hAnsi="楷体" w:eastAsia="楷体" w:cs="仿宋_GB2312"/>
          <w:b/>
          <w:bCs/>
          <w:sz w:val="32"/>
          <w:szCs w:val="32"/>
        </w:rPr>
        <w:t>一是多举措做好党员联系服务群众工作。</w:t>
      </w:r>
      <w:r>
        <w:rPr>
          <w:rFonts w:hint="eastAsia" w:ascii="仿宋_GB2312" w:hAnsi="仿宋_GB2312" w:eastAsia="仿宋_GB2312" w:cs="仿宋_GB2312"/>
          <w:sz w:val="32"/>
          <w:szCs w:val="32"/>
        </w:rPr>
        <w:t>积极开展“一对一”挂点联系工作、党代表进社区活动及“三定三联”党员进社区联系服务群众实践活动，常态化开展联系服务群众工作，助力社区安全、环提等工作取得进展，切实协助社区解决困难。</w:t>
      </w:r>
      <w:r>
        <w:rPr>
          <w:rFonts w:hint="eastAsia" w:ascii="楷体" w:hAnsi="楷体" w:eastAsia="楷体" w:cs="仿宋_GB2312"/>
          <w:b/>
          <w:bCs/>
          <w:sz w:val="32"/>
          <w:szCs w:val="32"/>
        </w:rPr>
        <w:t>二是推动结对共建机制落地见效。</w:t>
      </w:r>
      <w:r>
        <w:rPr>
          <w:rFonts w:hint="eastAsia" w:ascii="仿宋_GB2312" w:hAnsi="仿宋_GB2312" w:eastAsia="仿宋_GB2312" w:cs="仿宋_GB2312"/>
          <w:bCs/>
          <w:sz w:val="32"/>
          <w:szCs w:val="32"/>
        </w:rPr>
        <w:t>落实社区与江西赣州市寻乌县金村“结对子”帮扶工作</w:t>
      </w:r>
      <w:r>
        <w:rPr>
          <w:rFonts w:hint="eastAsia" w:ascii="仿宋_GB2312" w:hAnsi="仿宋_GB2312" w:eastAsia="仿宋_GB2312" w:cs="仿宋_GB2312"/>
          <w:sz w:val="32"/>
          <w:szCs w:val="32"/>
        </w:rPr>
        <w:t>，助力乡村振兴。</w:t>
      </w:r>
      <w:r>
        <w:rPr>
          <w:rFonts w:hint="eastAsia" w:ascii="楷体" w:hAnsi="楷体" w:eastAsia="楷体" w:cs="仿宋_GB2312"/>
          <w:b/>
          <w:bCs/>
          <w:sz w:val="32"/>
          <w:szCs w:val="32"/>
        </w:rPr>
        <w:t>三是做好“三新领域”党建服务工作。</w:t>
      </w:r>
      <w:r>
        <w:rPr>
          <w:rFonts w:hint="eastAsia" w:ascii="仿宋_GB2312" w:hAnsi="仿宋_GB2312" w:eastAsia="仿宋_GB2312" w:cs="仿宋_GB2312"/>
          <w:sz w:val="32"/>
          <w:szCs w:val="32"/>
        </w:rPr>
        <w:t>面对面听取“两企三新”领域企业诉求和建议，深入了解企业发展情况，助力企业发展，认真开展“护新暖心”关爱新业态新就业群体活动，切实激发该群体融入社区，激活基层治理新活力。</w:t>
      </w:r>
      <w:r>
        <w:rPr>
          <w:rFonts w:hint="eastAsia" w:ascii="楷体" w:hAnsi="楷体" w:eastAsia="楷体" w:cs="仿宋_GB2312"/>
          <w:b/>
          <w:bCs/>
          <w:sz w:val="32"/>
          <w:szCs w:val="32"/>
        </w:rPr>
        <w:t>四是全力做好党建引领现代活力小区建设工作。</w:t>
      </w:r>
      <w:r>
        <w:rPr>
          <w:rFonts w:hint="eastAsia" w:ascii="仿宋_GB2312" w:hAnsi="仿宋_GB2312" w:eastAsia="仿宋_GB2312" w:cs="仿宋_GB2312"/>
          <w:sz w:val="32"/>
          <w:szCs w:val="32"/>
        </w:rPr>
        <w:t>按照街道“六个一”工作要求，建立有力的小区议事协商平台，为小区居民提供更精准、更精细的服务。</w:t>
      </w:r>
      <w:r>
        <w:rPr>
          <w:rFonts w:hint="eastAsia" w:ascii="楷体" w:hAnsi="楷体" w:eastAsia="楷体" w:cs="仿宋_GB2312"/>
          <w:b/>
          <w:bCs/>
          <w:sz w:val="32"/>
          <w:szCs w:val="32"/>
        </w:rPr>
        <w:t>五是做好党内帮扶慰问工作。</w:t>
      </w:r>
      <w:r>
        <w:rPr>
          <w:rFonts w:hint="eastAsia" w:ascii="仿宋_GB2312" w:hAnsi="仿宋_GB2312" w:eastAsia="仿宋_GB2312" w:cs="仿宋_GB2312"/>
          <w:sz w:val="32"/>
          <w:szCs w:val="32"/>
        </w:rPr>
        <w:t>加强党内帮扶，做好春节、七一等期间党员慰问关怀工作，及时为有需要且符合条件的党员申请关爱扶助金，切实把党的温暖和关爱送到心坎上，2024年共走访慰问党员25人次，申请关爱扶助金27人次。</w:t>
      </w:r>
    </w:p>
    <w:p w14:paraId="53810FD4">
      <w:pPr>
        <w:tabs>
          <w:tab w:val="left" w:pos="5880"/>
        </w:tabs>
        <w:ind w:firstLine="640" w:firstLineChars="200"/>
        <w:jc w:val="left"/>
        <w:rPr>
          <w:rFonts w:ascii="黑体" w:hAnsi="黑体" w:eastAsia="黑体" w:cs="黑体"/>
          <w:sz w:val="32"/>
          <w:szCs w:val="32"/>
        </w:rPr>
      </w:pPr>
      <w:r>
        <w:rPr>
          <w:rFonts w:hint="eastAsia" w:ascii="黑体" w:hAnsi="黑体" w:eastAsia="黑体" w:cs="黑体"/>
          <w:sz w:val="32"/>
          <w:szCs w:val="32"/>
        </w:rPr>
        <w:t>二、聚焦高质量发展核心，全力推进利益统筹项目</w:t>
      </w:r>
    </w:p>
    <w:p w14:paraId="40B1098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在街道党工委、办事处的全面统筹推进下，社区党委坚持落实</w:t>
      </w:r>
      <w:r>
        <w:rPr>
          <w:rFonts w:hint="eastAsia" w:ascii="仿宋_GB2312" w:hAnsi="仿宋_GB2312" w:eastAsia="仿宋_GB2312" w:cs="仿宋_GB2312"/>
          <w:bCs/>
          <w:kern w:val="0"/>
          <w:sz w:val="32"/>
          <w:szCs w:val="32"/>
        </w:rPr>
        <w:t>责任到人、挂图作战，强化部门联动，充分发挥党员干部先锋模范作用，面对辅城坳土地整备利益统筹项目剩余未签约户展开“地毯式”签约谈判工作，逐户面对面交流，用心用情做好关系协调、化解矛盾、清租搬迁等重点工作，全力争取业主的理解与支持，同时充分发挥社区综管员在清租工作中的关键作用，为征拆工作的顺利进行、安全生产形势持续稳定、市容环境的持续改善提供有力保障。在多方力量的不断努力下，在今年顺利攻坚下109户的签约工作，涉及永久性建筑物建筑面积8.41万</w:t>
      </w:r>
      <w:r>
        <w:rPr>
          <w:rFonts w:hint="eastAsia" w:ascii="Batang" w:hAnsi="Batang" w:eastAsia="Batang" w:cs="Batang"/>
          <w:bCs/>
          <w:kern w:val="0"/>
          <w:sz w:val="32"/>
          <w:szCs w:val="32"/>
        </w:rPr>
        <w:t>㎡</w:t>
      </w:r>
      <w:r>
        <w:rPr>
          <w:rFonts w:hint="eastAsia" w:ascii="仿宋_GB2312" w:hAnsi="仿宋_GB2312" w:eastAsia="仿宋_GB2312" w:cs="仿宋_GB2312"/>
          <w:bCs/>
          <w:kern w:val="0"/>
          <w:sz w:val="32"/>
          <w:szCs w:val="32"/>
        </w:rPr>
        <w:t>，至此，辅城坳土地整备利益统筹项目已顺利完成701户的签约工作，剩余6户未签约户，项目总体签约率达99.15%，项目已顺利进入申报建设阶段，其中一期一批建设用地已进入开工建设阶段。</w:t>
      </w:r>
      <w:r>
        <w:rPr>
          <w:rFonts w:hint="eastAsia" w:ascii="仿宋_GB2312" w:hAnsi="仿宋_GB2312" w:eastAsia="仿宋_GB2312" w:cs="仿宋_GB2312"/>
          <w:sz w:val="32"/>
          <w:szCs w:val="32"/>
        </w:rPr>
        <w:t>随着项目内全球招商26万</w:t>
      </w:r>
      <w:r>
        <w:rPr>
          <w:rFonts w:hint="eastAsia" w:ascii="Batang" w:hAnsi="Batang" w:eastAsia="Batang" w:cs="Batang"/>
          <w:sz w:val="32"/>
          <w:szCs w:val="32"/>
        </w:rPr>
        <w:t>㎡</w:t>
      </w:r>
      <w:r>
        <w:rPr>
          <w:rFonts w:hint="eastAsia" w:ascii="仿宋_GB2312" w:hAnsi="仿宋_GB2312" w:eastAsia="仿宋_GB2312" w:cs="仿宋_GB2312"/>
          <w:sz w:val="32"/>
          <w:szCs w:val="32"/>
        </w:rPr>
        <w:t>地块征拆工作的顺利完成，平湖智造园建设“加速跑”，已于今年10月初圆满落地并投产使用，刷新项目“进度条”，社区经济进一步发展壮大。根据前期核查数据统计，该项目整体扣除前期已征房屋，范围内总建筑面积约71.6万平方米，共计707户，截至目前，已测绘701户，测绘户数完成率为99.15%；已签约完成率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15%；已收楼完成率为96.45%；已拆除完成率为72.14%。一期二批地块（含全球招商扩容安置地块）范围内总建筑面积约11.26万平方米，截止目前，已测绘完成率为99.38%；已签约完成率为98.75%；已收楼完成率为94.95%。</w:t>
      </w:r>
    </w:p>
    <w:p w14:paraId="5DF1C219">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与此同时，坚持全面发力，打好高质量发展的总体战，推动各重点项目前期工作不断向前。盛东厂片区城市更新项目已顺利转为利益统筹项目，</w:t>
      </w:r>
      <w:r>
        <w:rPr>
          <w:rFonts w:hint="eastAsia" w:ascii="仿宋" w:hAnsi="仿宋" w:eastAsia="仿宋" w:cs="仿宋"/>
          <w:sz w:val="32"/>
          <w:szCs w:val="32"/>
        </w:rPr>
        <w:t>项目实施范围用地面积约4.39万㎡，继续推进实施方案的编制工作中；</w:t>
      </w:r>
      <w:r>
        <w:rPr>
          <w:rFonts w:hint="eastAsia" w:ascii="仿宋_GB2312" w:hAnsi="仿宋_GB2312" w:eastAsia="仿宋_GB2312" w:cs="仿宋_GB2312"/>
          <w:sz w:val="32"/>
          <w:szCs w:val="32"/>
        </w:rPr>
        <w:t>辅城坳—新南社区利益统筹项目的土地整备工作在去年取得优秀成果，在今年已完成范围内物业测绘工作并对测绘数据进行复核；平湖西片区土整项目在今年已完成土地信息核查、规划设计等专题工作，住宅类权利人核实工作已完成约91%；在岐岭北片区城市更新项目中，社区积极协助大力开展老屋村整治工作，为项目清租工作提供了有力后援。</w:t>
      </w:r>
    </w:p>
    <w:p w14:paraId="0DFF8019">
      <w:pPr>
        <w:ind w:firstLine="640" w:firstLineChars="200"/>
        <w:jc w:val="left"/>
        <w:rPr>
          <w:rFonts w:ascii="黑体" w:hAnsi="黑体" w:eastAsia="黑体" w:cs="黑体"/>
          <w:sz w:val="32"/>
          <w:szCs w:val="32"/>
          <w:highlight w:val="yellow"/>
        </w:rPr>
      </w:pPr>
      <w:r>
        <w:rPr>
          <w:rFonts w:hint="eastAsia" w:ascii="黑体" w:hAnsi="黑体" w:eastAsia="黑体" w:cs="黑体"/>
          <w:sz w:val="32"/>
          <w:szCs w:val="32"/>
        </w:rPr>
        <w:t>三、夯实安全稳定基石，筑牢和谐社区屏障</w:t>
      </w:r>
    </w:p>
    <w:p w14:paraId="333ADC74">
      <w:pPr>
        <w:ind w:firstLine="640" w:firstLineChars="200"/>
        <w:jc w:val="left"/>
        <w:rPr>
          <w:rFonts w:ascii="仿宋_GB2312" w:hAnsi="仿宋_GB2312" w:eastAsia="仿宋_GB2312" w:cs="仿宋_GB2312"/>
          <w:color w:val="FF0000"/>
          <w:sz w:val="32"/>
          <w:szCs w:val="32"/>
        </w:rPr>
      </w:pPr>
      <w:r>
        <w:rPr>
          <w:rFonts w:hint="eastAsia" w:ascii="楷体" w:hAnsi="楷体" w:eastAsia="楷体" w:cs="楷体"/>
          <w:sz w:val="32"/>
          <w:szCs w:val="32"/>
        </w:rPr>
        <w:t>（一）严抓各领域安全综合整治工作，筑牢社区安全根基。</w:t>
      </w:r>
      <w:r>
        <w:rPr>
          <w:rFonts w:hint="eastAsia" w:ascii="楷体" w:hAnsi="楷体" w:eastAsia="楷体" w:cs="仿宋_GB2312"/>
          <w:b/>
          <w:bCs/>
          <w:sz w:val="32"/>
          <w:szCs w:val="32"/>
        </w:rPr>
        <w:t>一是认真落实各类场所安全领域专项行动。</w:t>
      </w:r>
      <w:r>
        <w:rPr>
          <w:rFonts w:hint="eastAsia" w:ascii="仿宋_GB2312" w:hAnsi="仿宋_GB2312" w:eastAsia="仿宋_GB2312" w:cs="仿宋_GB2312"/>
          <w:sz w:val="32"/>
          <w:szCs w:val="32"/>
        </w:rPr>
        <w:t>紧盯重点领域和关键环节，持续深化开展消防安全集中除患攻坚大整治，深入推动“拆窗、破网、清通道”行动，</w:t>
      </w:r>
      <w:r>
        <w:rPr>
          <w:rFonts w:hint="eastAsia" w:ascii="仿宋_GB2312" w:hAnsi="仿宋_GB2312" w:eastAsia="仿宋_GB2312" w:cs="仿宋_GB2312"/>
          <w:sz w:val="32"/>
          <w:szCs w:val="32"/>
          <w:lang w:bidi="ar"/>
        </w:rPr>
        <w:t>严抓</w:t>
      </w:r>
      <w:r>
        <w:rPr>
          <w:rFonts w:hint="eastAsia" w:ascii="仿宋_GB2312" w:hAnsi="仿宋_GB2312" w:eastAsia="仿宋_GB2312" w:cs="仿宋_GB2312"/>
          <w:sz w:val="32"/>
          <w:szCs w:val="32"/>
        </w:rPr>
        <w:t>“九小”、“八类”场所及各类重点场所专项排查整治行动，并结合日常走访，着重对各类安全隐患进行整治，全面梳理各类场所台账，迅速反应强化重点区域</w:t>
      </w:r>
      <w:r>
        <w:rPr>
          <w:rFonts w:ascii="仿宋_GB2312" w:hAnsi="仿宋_GB2312" w:eastAsia="仿宋_GB2312" w:cs="仿宋_GB2312"/>
          <w:sz w:val="32"/>
          <w:szCs w:val="32"/>
        </w:rPr>
        <w:t>整改</w:t>
      </w:r>
      <w:r>
        <w:rPr>
          <w:rFonts w:hint="eastAsia" w:ascii="仿宋_GB2312" w:hAnsi="仿宋_GB2312" w:eastAsia="仿宋_GB2312" w:cs="仿宋_GB2312"/>
          <w:sz w:val="32"/>
          <w:szCs w:val="32"/>
        </w:rPr>
        <w:t>。今年以来，共排查复查出租屋565971套数，发现并完成整改隐患37394条；排查</w:t>
      </w:r>
      <w:r>
        <w:rPr>
          <w:rFonts w:ascii="仿宋_GB2312" w:hAnsi="仿宋_GB2312" w:eastAsia="仿宋_GB2312" w:cs="仿宋_GB2312"/>
          <w:sz w:val="32"/>
          <w:szCs w:val="32"/>
        </w:rPr>
        <w:t>“三小”场所</w:t>
      </w:r>
      <w:r>
        <w:rPr>
          <w:rFonts w:hint="eastAsia" w:ascii="仿宋_GB2312" w:hAnsi="仿宋_GB2312" w:eastAsia="仿宋_GB2312" w:cs="仿宋_GB2312"/>
          <w:sz w:val="32"/>
          <w:szCs w:val="32"/>
        </w:rPr>
        <w:t>15834家次，发现并完成整改隐患1557条；排查“九小场所”5086家，发现并完成整改隐患911处；排查发现天面不通楼栋共计117栋，已整改106栋；排查自建房电梯88处、老旧房屋45家；“粤商通”消安自查自改录入540条；全面完成三小场所危险源及风险评估录入工作。</w:t>
      </w:r>
      <w:r>
        <w:rPr>
          <w:rFonts w:hint="eastAsia" w:ascii="楷体" w:hAnsi="楷体" w:eastAsia="楷体" w:cs="仿宋_GB2312"/>
          <w:b/>
          <w:bCs/>
          <w:sz w:val="32"/>
          <w:szCs w:val="32"/>
        </w:rPr>
        <w:t>二是做好天然气“瓶改管”全链条工作。</w:t>
      </w:r>
      <w:r>
        <w:rPr>
          <w:rFonts w:hint="eastAsia" w:ascii="仿宋_GB2312" w:hAnsi="仿宋_GB2312" w:eastAsia="仿宋_GB2312" w:cs="仿宋_GB2312"/>
          <w:sz w:val="32"/>
          <w:szCs w:val="32"/>
        </w:rPr>
        <w:t>全力巩固燃气安全防线，深入落实天然气“瓶改管”工作，实现管道天然气改造全覆盖，朝着“清瓶”总目标迈进，今年第三批“瓶改管”项目共13个目标片区，现已成功点火11个片区；同时做好瓶装气“白名单”管理工作，完成餐饮企业燃气安全“大轮训”，目前系统内登记总户数共50826户，已摸排50785户，其中长期白名单6114户，非白名单44671户；针对违规使用瓶装气及“黑煤气”用户共开展燃气安全排查412次，检查10600户，排查发现并整改隐患470处</w:t>
      </w:r>
      <w:r>
        <w:rPr>
          <w:rFonts w:hint="eastAsia" w:ascii="楷体" w:hAnsi="楷体" w:eastAsia="楷体" w:cs="仿宋_GB2312"/>
          <w:sz w:val="32"/>
          <w:szCs w:val="32"/>
        </w:rPr>
        <w:t>。</w:t>
      </w:r>
      <w:r>
        <w:rPr>
          <w:rFonts w:hint="eastAsia" w:ascii="楷体" w:hAnsi="楷体" w:eastAsia="楷体" w:cs="仿宋_GB2312"/>
          <w:b/>
          <w:sz w:val="32"/>
          <w:szCs w:val="32"/>
        </w:rPr>
        <w:t>三是全力保障群众食品药品安全。</w:t>
      </w:r>
      <w:r>
        <w:rPr>
          <w:rFonts w:hint="eastAsia" w:ascii="仿宋_GB2312" w:hAnsi="仿宋_GB2312" w:eastAsia="仿宋_GB2312" w:cs="仿宋_GB2312"/>
          <w:sz w:val="32"/>
          <w:szCs w:val="32"/>
        </w:rPr>
        <w:t>压紧压实食品药品安全“两个责任”，强化工作措施，推进食安协治，扩大宣传覆盖面，全力推进2024年包保干部督导工作及非法行医专项排查工作。今年以来，全面完成上级下派食品包保名册单位的排查督导及整改，实现任务完成率、督导发现问题整改率“两个100%”，未发生食品药品安全事故及非法行医事件。</w:t>
      </w:r>
      <w:r>
        <w:rPr>
          <w:rFonts w:hint="eastAsia" w:ascii="楷体" w:hAnsi="楷体" w:eastAsia="楷体" w:cs="仿宋_GB2312"/>
          <w:b/>
          <w:sz w:val="32"/>
          <w:szCs w:val="32"/>
        </w:rPr>
        <w:t>四是第二批电气线路整治专项工作取得显著成效。</w:t>
      </w:r>
      <w:r>
        <w:rPr>
          <w:rFonts w:hint="eastAsia" w:ascii="仿宋_GB2312" w:hAnsi="仿宋_GB2312" w:eastAsia="仿宋_GB2312" w:cs="仿宋_GB2312"/>
          <w:sz w:val="32"/>
          <w:szCs w:val="32"/>
        </w:rPr>
        <w:t>我社区总隐患数9577条，整改完成率100%；现有共零楼栋180栋，已整改178栋，整改完成率98.9%。</w:t>
      </w:r>
      <w:r>
        <w:rPr>
          <w:rFonts w:hint="eastAsia" w:ascii="楷体" w:hAnsi="楷体" w:eastAsia="楷体" w:cs="仿宋_GB2312"/>
          <w:b/>
          <w:sz w:val="32"/>
          <w:szCs w:val="32"/>
        </w:rPr>
        <w:t>五</w:t>
      </w:r>
      <w:r>
        <w:rPr>
          <w:rFonts w:ascii="楷体" w:hAnsi="楷体" w:eastAsia="楷体" w:cs="仿宋_GB2312"/>
          <w:b/>
          <w:sz w:val="32"/>
          <w:szCs w:val="32"/>
        </w:rPr>
        <w:t>是</w:t>
      </w:r>
      <w:r>
        <w:rPr>
          <w:rFonts w:hint="eastAsia" w:ascii="楷体" w:hAnsi="楷体" w:eastAsia="楷体" w:cs="仿宋_GB2312"/>
          <w:b/>
          <w:sz w:val="32"/>
          <w:szCs w:val="32"/>
        </w:rPr>
        <w:t>持续推进自建房检测鉴定专项工作。</w:t>
      </w:r>
      <w:r>
        <w:rPr>
          <w:rFonts w:hint="eastAsia" w:ascii="仿宋_GB2312" w:hAnsi="仿宋_GB2312" w:eastAsia="仿宋_GB2312" w:cs="仿宋_GB2312"/>
          <w:sz w:val="32"/>
          <w:szCs w:val="32"/>
        </w:rPr>
        <w:t>严格按照街道下发的台账信息，逐户走访，反复深入沟通，我社区目前需检测鉴定自建房共33栋，已完成销号27栋，销号率82%。</w:t>
      </w:r>
      <w:r>
        <w:rPr>
          <w:rFonts w:hint="eastAsia" w:ascii="楷体" w:hAnsi="楷体" w:eastAsia="楷体" w:cs="仿宋_GB2312"/>
          <w:b/>
          <w:bCs/>
          <w:kern w:val="0"/>
          <w:sz w:val="32"/>
          <w:szCs w:val="32"/>
          <w:lang w:bidi="ar"/>
        </w:rPr>
        <w:t>六是</w:t>
      </w:r>
      <w:r>
        <w:rPr>
          <w:rFonts w:hint="eastAsia" w:ascii="楷体" w:hAnsi="楷体" w:eastAsia="楷体" w:cs="仿宋_GB2312"/>
          <w:b/>
          <w:sz w:val="32"/>
          <w:szCs w:val="32"/>
        </w:rPr>
        <w:t>做好重点领域三防应急工作。</w:t>
      </w:r>
      <w:r>
        <w:rPr>
          <w:rFonts w:hint="eastAsia" w:ascii="仿宋_GB2312" w:hAnsi="仿宋_GB2312" w:eastAsia="仿宋_GB2312" w:cs="仿宋_GB2312"/>
          <w:sz w:val="32"/>
          <w:szCs w:val="32"/>
        </w:rPr>
        <w:t>正确应对特殊气象，聚焦边坡、挡墙、C类房屋等重点领域及在建工地、河道、内涝点、老屋村等重点片区，加强雨中巡查频次，督促有地下空间的小区商场按要求安装防淹挡板，并在融湖时代花园小区开展地下空间防淹演练；在特殊气象灾害预警发布期同步开放避险场所，接待避险群众，并对C3类房屋和有易涝风险处居住人员进行劝离。当前我社区现存边坡30处，其中12处已纳入管养范围、7处已完成治理，现存挡墙4处、已修复2处，现存C类房屋6处，均已硬隔离围挡。</w:t>
      </w:r>
      <w:r>
        <w:rPr>
          <w:rFonts w:hint="eastAsia" w:ascii="楷体" w:hAnsi="楷体" w:eastAsia="楷体" w:cs="仿宋_GB2312"/>
          <w:b/>
          <w:sz w:val="32"/>
          <w:szCs w:val="32"/>
        </w:rPr>
        <w:t>七是主动作为，落实落细岐岭二村旧屋清租行动。</w:t>
      </w:r>
      <w:r>
        <w:rPr>
          <w:rFonts w:hint="eastAsia" w:ascii="仿宋_GB2312" w:hAnsi="仿宋_GB2312" w:eastAsia="仿宋_GB2312" w:cs="仿宋_GB2312"/>
          <w:sz w:val="32"/>
          <w:szCs w:val="32"/>
        </w:rPr>
        <w:t>在由街道办主任韩雪峰同志带队开展的消防安全夜查行动中，发现我社区岐岭二村老旧房屋存在电线私拉乱接、消防设施配备不足、煤气使用超量、电动车违规进入住宅等安全隐患，存在较大的消防安全风险，社区党委迅速响应，召集社区党委、居民代表、开发商代表、股份合作公司代表等进行工作部署，后由社区工作人员与业主进行多次沟通、耐心解释，取得业主的理解和支持，截至目前，岐岭二村老旧房屋共计24处，已完成清租18处，清租工作取得阶段性成果，有效提升了社区消安水平。</w:t>
      </w:r>
    </w:p>
    <w:p w14:paraId="430E7591">
      <w:pPr>
        <w:ind w:firstLine="640" w:firstLineChars="200"/>
        <w:jc w:val="left"/>
        <w:rPr>
          <w:rFonts w:ascii="仿宋_GB2312" w:hAnsi="仿宋_GB2312" w:eastAsia="仿宋_GB2312" w:cs="仿宋_GB2312"/>
          <w:bCs/>
          <w:sz w:val="32"/>
          <w:szCs w:val="32"/>
        </w:rPr>
      </w:pPr>
      <w:r>
        <w:rPr>
          <w:rFonts w:hint="eastAsia" w:ascii="楷体" w:hAnsi="楷体" w:eastAsia="楷体" w:cs="楷体"/>
          <w:sz w:val="32"/>
          <w:szCs w:val="32"/>
        </w:rPr>
        <w:t>（二）强化源头治理，抓实建筑施工、交通安全排查整治。</w:t>
      </w:r>
      <w:r>
        <w:rPr>
          <w:rFonts w:hint="eastAsia" w:ascii="楷体" w:hAnsi="楷体" w:eastAsia="楷体" w:cs="仿宋_GB2312"/>
          <w:b/>
          <w:sz w:val="32"/>
          <w:szCs w:val="32"/>
        </w:rPr>
        <w:t>一是抓好建筑领域监督管理。</w:t>
      </w:r>
      <w:r>
        <w:rPr>
          <w:rFonts w:hint="eastAsia" w:ascii="仿宋_GB2312" w:hAnsi="仿宋_GB2312" w:eastAsia="仿宋_GB2312" w:cs="仿宋_GB2312"/>
          <w:sz w:val="32"/>
          <w:szCs w:val="32"/>
        </w:rPr>
        <w:t>严抓小散作业、零星工程施工活动的监督管理，督促严格落实施工作业各项规范要求，落实每日现场检查监督，及时消除各类隐患，今年以来，社区已备案小散工程和零星作业共443处，发现并整改隐患2211条，责令停工整改44处。</w:t>
      </w:r>
      <w:r>
        <w:rPr>
          <w:rFonts w:hint="eastAsia" w:ascii="楷体" w:hAnsi="楷体" w:eastAsia="楷体" w:cs="仿宋_GB2312"/>
          <w:b/>
          <w:sz w:val="32"/>
          <w:szCs w:val="32"/>
        </w:rPr>
        <w:t>二是做好交通安全工作。</w:t>
      </w:r>
      <w:r>
        <w:rPr>
          <w:rFonts w:hint="eastAsia" w:ascii="仿宋_GB2312" w:hAnsi="仿宋_GB2312" w:eastAsia="仿宋_GB2312" w:cs="仿宋_GB2312"/>
          <w:sz w:val="32"/>
          <w:szCs w:val="32"/>
        </w:rPr>
        <w:t>长效化推进交通劝导和道路交通隐患点排查工作，认真落实交通安全夜间巡查整治行动，</w:t>
      </w:r>
      <w:r>
        <w:rPr>
          <w:rFonts w:hint="eastAsia" w:ascii="仿宋_GB2312" w:hAnsi="仿宋_GB2312" w:eastAsia="仿宋_GB2312" w:cs="仿宋_GB2312"/>
          <w:bCs/>
          <w:sz w:val="32"/>
          <w:szCs w:val="32"/>
        </w:rPr>
        <w:t>持续开展“三个一”集中整治、“三个二”巡查劝导、夜间交通大排查大整治等行动，</w:t>
      </w:r>
      <w:r>
        <w:rPr>
          <w:rFonts w:hint="eastAsia" w:ascii="仿宋_GB2312" w:hAnsi="仿宋_GB2312" w:eastAsia="仿宋_GB2312" w:cs="仿宋_GB2312"/>
          <w:sz w:val="32"/>
          <w:szCs w:val="32"/>
        </w:rPr>
        <w:t>在辖区主要路口开展交通安全宣传及文明劝导服务，今年以来，累计出动3865人次，劝导23555人次，完成抄签承诺书1244人次，现场观看安全教育视频850人次，张贴反光贴纸204张。</w:t>
      </w:r>
      <w:r>
        <w:rPr>
          <w:rFonts w:hint="eastAsia" w:ascii="楷体" w:hAnsi="楷体" w:eastAsia="楷体" w:cs="仿宋_GB2312"/>
          <w:b/>
          <w:sz w:val="32"/>
          <w:szCs w:val="32"/>
        </w:rPr>
        <w:t>三是抓好电动车全链条管理工作。</w:t>
      </w:r>
      <w:r>
        <w:rPr>
          <w:rFonts w:hint="eastAsia" w:ascii="仿宋_GB2312" w:hAnsi="仿宋_GB2312" w:eastAsia="仿宋_GB2312" w:cs="仿宋_GB2312"/>
          <w:sz w:val="32"/>
          <w:szCs w:val="32"/>
        </w:rPr>
        <w:t>全面铺开</w:t>
      </w:r>
      <w:r>
        <w:rPr>
          <w:rFonts w:hint="eastAsia" w:ascii="仿宋_GB2312" w:hAnsi="仿宋_GB2312" w:eastAsia="仿宋_GB2312" w:cs="仿宋_GB2312"/>
          <w:sz w:val="32"/>
          <w:szCs w:val="32"/>
          <w:shd w:val="clear" w:color="auto" w:fill="FFFFFF"/>
        </w:rPr>
        <w:t>互联网租赁电动自行车整治及电动自行车充电设施消安隐患排查整改行动</w:t>
      </w:r>
      <w:r>
        <w:rPr>
          <w:rFonts w:hint="eastAsia" w:ascii="仿宋_GB2312" w:hAnsi="仿宋_GB2312" w:eastAsia="仿宋_GB2312" w:cs="仿宋_GB2312"/>
          <w:sz w:val="32"/>
          <w:szCs w:val="32"/>
        </w:rPr>
        <w:t>，推动电动自行车充电桩规范化建设，开展光伏与超充排查工作，确保道路交通形势稳定有序，自</w:t>
      </w:r>
      <w:r>
        <w:rPr>
          <w:rFonts w:ascii="仿宋_GB2312" w:hAnsi="仿宋_GB2312" w:eastAsia="仿宋_GB2312" w:cs="仿宋_GB2312"/>
          <w:sz w:val="32"/>
          <w:szCs w:val="32"/>
        </w:rPr>
        <w:t>行动开展以来，</w:t>
      </w:r>
      <w:r>
        <w:rPr>
          <w:rFonts w:hint="eastAsia" w:ascii="仿宋_GB2312" w:hAnsi="仿宋_GB2312" w:eastAsia="仿宋_GB2312" w:cs="仿宋_GB2312"/>
          <w:sz w:val="32"/>
          <w:szCs w:val="32"/>
        </w:rPr>
        <w:t>共收缴共享电动车1592辆，排查充电桩163处，发现并完成隐患整改84条。</w:t>
      </w:r>
      <w:r>
        <w:rPr>
          <w:rFonts w:hint="eastAsia" w:ascii="楷体" w:hAnsi="楷体" w:eastAsia="楷体" w:cs="仿宋_GB2312"/>
          <w:b/>
          <w:sz w:val="32"/>
          <w:szCs w:val="32"/>
        </w:rPr>
        <w:t>四是协调推进民生工程类项目。</w:t>
      </w:r>
      <w:r>
        <w:rPr>
          <w:rFonts w:hint="eastAsia" w:ascii="仿宋_GB2312" w:hAnsi="仿宋_GB2312" w:eastAsia="仿宋_GB2312" w:cs="仿宋_GB2312"/>
          <w:bCs/>
          <w:sz w:val="32"/>
          <w:szCs w:val="32"/>
        </w:rPr>
        <w:t>通过实地调研与考察，在今年实施了“嘉城路与长龙东路交汇处路面修缮”、“平龙西路与新桥三路（智造园门口）交汇处非机动车道停车区域划线”等工程项目，并成功验收，为居民提供更加安全、顺畅的出行环境。</w:t>
      </w:r>
    </w:p>
    <w:p w14:paraId="4030C526">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（三）</w:t>
      </w:r>
      <w:r>
        <w:rPr>
          <w:rFonts w:hint="eastAsia" w:ascii="楷体" w:hAnsi="楷体" w:eastAsia="楷体" w:cs="楷体"/>
          <w:sz w:val="32"/>
          <w:szCs w:val="32"/>
        </w:rPr>
        <w:t>多措并举，持续推进综治信访维稳工作。</w:t>
      </w:r>
      <w:r>
        <w:rPr>
          <w:rFonts w:hint="eastAsia" w:ascii="楷体" w:hAnsi="楷体" w:eastAsia="楷体" w:cs="仿宋_GB2312"/>
          <w:b/>
          <w:sz w:val="32"/>
          <w:szCs w:val="32"/>
        </w:rPr>
        <w:t>一是靠前服务深入走访企业。</w:t>
      </w:r>
      <w:r>
        <w:rPr>
          <w:rFonts w:hint="eastAsia" w:ascii="仿宋_GB2312" w:hAnsi="仿宋_GB2312" w:eastAsia="仿宋_GB2312" w:cs="仿宋_GB2312"/>
          <w:sz w:val="32"/>
          <w:szCs w:val="32"/>
        </w:rPr>
        <w:t>推动基层党建与平安建设互促互进，不断强化政府效能，班子成员持续走访企业,紧盯社区重点信访事件，及时纾解企业困难，解决问题，提供决策建议，主动助企惠企，有效维护社区和谐稳定。</w:t>
      </w:r>
      <w:r>
        <w:rPr>
          <w:rFonts w:hint="eastAsia" w:ascii="楷体" w:hAnsi="楷体" w:eastAsia="楷体" w:cs="仿宋_GB2312"/>
          <w:b/>
          <w:sz w:val="32"/>
          <w:szCs w:val="32"/>
        </w:rPr>
        <w:t>二是快速响应化解矛盾纠纷。</w:t>
      </w:r>
      <w:r>
        <w:rPr>
          <w:rFonts w:hint="eastAsia" w:ascii="仿宋_GB2312" w:hAnsi="仿宋_GB2312" w:eastAsia="仿宋_GB2312" w:cs="仿宋_GB2312"/>
          <w:sz w:val="32"/>
          <w:szCs w:val="32"/>
        </w:rPr>
        <w:t>坚持践行“枫桥经验+龙岭模式”，社区调委会充分发挥“第一道防线”作用，成功快速化解一批疑难纠纷，今年至今，共受理案件172宗，办结案件172宗，成功调解率达100%。</w:t>
      </w:r>
      <w:r>
        <w:rPr>
          <w:rFonts w:hint="eastAsia" w:ascii="楷体" w:hAnsi="楷体" w:eastAsia="楷体" w:cs="仿宋_GB2312"/>
          <w:b/>
          <w:sz w:val="32"/>
          <w:szCs w:val="32"/>
        </w:rPr>
        <w:t>三是落实服务群众“多中心合一”建设。</w:t>
      </w:r>
      <w:r>
        <w:rPr>
          <w:rFonts w:hint="eastAsia" w:ascii="仿宋_GB2312" w:hAnsi="仿宋_GB2312" w:eastAsia="仿宋_GB2312" w:cs="仿宋_GB2312"/>
          <w:sz w:val="32"/>
          <w:szCs w:val="32"/>
        </w:rPr>
        <w:t>完善服务群众等一系列平台窗口建设，今年共处理城运分中心系统分派各类投诉件1250宗，码上办系统受理办结146宗，开展法制宣传活动7场，开展矛盾隐患排查工作121次。</w:t>
      </w:r>
      <w:r>
        <w:rPr>
          <w:rFonts w:hint="eastAsia" w:ascii="楷体" w:hAnsi="楷体" w:eastAsia="楷体" w:cs="仿宋_GB2312"/>
          <w:b/>
          <w:sz w:val="32"/>
          <w:szCs w:val="32"/>
        </w:rPr>
        <w:t>四是攻坚克难配合处理融湖小区学位信访事件。</w:t>
      </w:r>
      <w:r>
        <w:rPr>
          <w:rFonts w:hint="eastAsia" w:ascii="仿宋_GB2312" w:hAnsi="仿宋_GB2312" w:eastAsia="仿宋_GB2312" w:cs="仿宋_GB2312"/>
          <w:sz w:val="32"/>
          <w:szCs w:val="32"/>
        </w:rPr>
        <w:t>社区全体不分昼夜持续值守，积极与信访群众沟通交流，耐心解释信访政策，共出动2000余人次，前后连续奋战20天，上门解释沟通四千余户，最终妥善处置此次群体性突发信访事件，维护了辖区和谐稳定。</w:t>
      </w:r>
      <w:r>
        <w:rPr>
          <w:rFonts w:hint="eastAsia" w:ascii="楷体" w:hAnsi="楷体" w:eastAsia="楷体" w:cs="仿宋_GB2312"/>
          <w:b/>
          <w:sz w:val="32"/>
          <w:szCs w:val="32"/>
        </w:rPr>
        <w:t>五是凝心聚力攻坚重点信访难题。</w:t>
      </w:r>
      <w:r>
        <w:rPr>
          <w:rFonts w:hint="eastAsia" w:ascii="仿宋_GB2312" w:hAnsi="仿宋_GB2312" w:eastAsia="仿宋_GB2312" w:cs="仿宋_GB2312"/>
          <w:sz w:val="32"/>
          <w:szCs w:val="32"/>
        </w:rPr>
        <w:t>今年以来，卓越星源小区业主集中向国家信访局网站反映道路出行问题89件，社区党委高度重视，主动担当作为，反复沟通协调，多次邀请小区业主代表、街道领导、上级相关部门领导等参加卓越星源小区座谈会，协商解决小区现存的交通、环境等各方面问题，倾心听取业主代表提出建议，并一一作出回应，最终取得了业主的理解和认可。</w:t>
      </w:r>
      <w:r>
        <w:rPr>
          <w:rFonts w:hint="eastAsia" w:ascii="楷体" w:hAnsi="楷体" w:eastAsia="楷体" w:cs="仿宋_GB2312"/>
          <w:b/>
          <w:sz w:val="32"/>
          <w:szCs w:val="32"/>
        </w:rPr>
        <w:t>六是全力以赴做好1015专项工作。</w:t>
      </w:r>
      <w:r>
        <w:rPr>
          <w:rFonts w:hint="eastAsia" w:ascii="仿宋_GB2312" w:hAnsi="仿宋_GB2312" w:eastAsia="仿宋_GB2312" w:cs="仿宋_GB2312"/>
          <w:sz w:val="32"/>
          <w:szCs w:val="32"/>
        </w:rPr>
        <w:t>社区“三人组”通过面访、电访等形式对行动名单80人进行跟踪，及时掌握全量人员动态情况，做好信息收集与分析，目前三级人员2人，关注人员15人，情况较为稳定。</w:t>
      </w:r>
    </w:p>
    <w:p w14:paraId="4E2DA4E6">
      <w:pPr>
        <w:ind w:firstLine="640"/>
        <w:jc w:val="left"/>
        <w:rPr>
          <w:rFonts w:ascii="仿宋_GB2312" w:hAnsi="仿宋_GB2312" w:eastAsia="仿宋_GB2312" w:cs="仿宋_GB2312"/>
          <w:sz w:val="32"/>
          <w:szCs w:val="32"/>
        </w:rPr>
      </w:pPr>
      <w:r>
        <w:rPr>
          <w:rFonts w:hint="eastAsia" w:ascii="楷体" w:hAnsi="楷体" w:eastAsia="楷体" w:cs="楷体"/>
          <w:sz w:val="32"/>
          <w:szCs w:val="32"/>
        </w:rPr>
        <w:t>（四）创新社会综合治理，夯实平安之基。</w:t>
      </w:r>
      <w:r>
        <w:rPr>
          <w:rFonts w:hint="eastAsia" w:ascii="楷体" w:hAnsi="楷体" w:eastAsia="楷体" w:cs="仿宋_GB2312"/>
          <w:b/>
          <w:sz w:val="32"/>
          <w:szCs w:val="32"/>
        </w:rPr>
        <w:t>一是深入推进龙岗区基层社会治理实践项目。</w:t>
      </w:r>
      <w:r>
        <w:rPr>
          <w:rFonts w:hint="eastAsia" w:ascii="仿宋_GB2312" w:hAnsi="仿宋_GB2312" w:eastAsia="仿宋_GB2312" w:cs="仿宋_GB2312"/>
          <w:sz w:val="32"/>
          <w:szCs w:val="32"/>
        </w:rPr>
        <w:t>2024年度我社区申报了“辅城移山、便民万家”社区荒地改造项目，该项目积极听取了辖区居民的建议和意见，充分发扬愚公精神，推平土山，拉直道路，消除道路交通安全隐患，为居民群众建设一条安全顺畅的出行道路；目前已完成清表运土作业约4200方，并依次实施了路基铺平、压路机压平路面、人行道铺建、沥青铺路等施工步骤，当前该公路所有路面建设工作已圆满完成。</w:t>
      </w:r>
      <w:r>
        <w:rPr>
          <w:rFonts w:hint="eastAsia" w:ascii="楷体" w:hAnsi="楷体" w:eastAsia="楷体" w:cs="仿宋_GB2312"/>
          <w:b/>
          <w:sz w:val="32"/>
          <w:szCs w:val="32"/>
        </w:rPr>
        <w:t>二是认真开展精防、禁毒排查建档工作。</w:t>
      </w:r>
      <w:r>
        <w:rPr>
          <w:rFonts w:hint="eastAsia" w:ascii="仿宋_GB2312" w:hAnsi="仿宋_GB2312" w:eastAsia="仿宋_GB2312" w:cs="仿宋_GB2312"/>
          <w:sz w:val="32"/>
          <w:szCs w:val="32"/>
        </w:rPr>
        <w:t>持续跟进监管在册吸毒人员、精神患者，按期落实访谈工作，加强辖区内易制毒及寄递物流企业走访排查。当前社区精神障碍患者共78人，在管患者72人，监护补助签约70人，高效及时处置12起案件，无一肇事肇祸事件发生。辖区现有寄递物流企业25家，易制毒化工企业8家，电子烟商铺2家，均已备案。</w:t>
      </w:r>
      <w:r>
        <w:rPr>
          <w:rFonts w:hint="eastAsia" w:ascii="楷体" w:hAnsi="楷体" w:eastAsia="楷体" w:cs="仿宋_GB2312"/>
          <w:b/>
          <w:sz w:val="32"/>
          <w:szCs w:val="32"/>
        </w:rPr>
        <w:t>三是常态化做好反恐、“扫黄打非”工作。</w:t>
      </w:r>
      <w:r>
        <w:rPr>
          <w:rFonts w:hint="eastAsia" w:ascii="仿宋_GB2312" w:hAnsi="仿宋_GB2312" w:eastAsia="仿宋_GB2312" w:cs="仿宋_GB2312"/>
          <w:sz w:val="32"/>
          <w:szCs w:val="32"/>
        </w:rPr>
        <w:t>按时排查防恐设备，张贴《最小作战单位突发事件先期处置指引》海报并广泛宣传，今年共排查重点场所防护栏或安全桩安装情况14处，未发现隐患。重点关注辖区图书零售点、印刷企业、网吧等场所是否存在非法出版物、影像，及时处理涉“黄”涉“非”内容，今年以来未发现违法违规情况。同时深入开展预防和治理未成年人违法犯罪专项行动，与关爱类未成年人建立联系，每月按时走访，我社区现有关爱类未成年人9人，今年累计走访43次</w:t>
      </w:r>
      <w:r>
        <w:rPr>
          <w:rFonts w:hint="eastAsia" w:ascii="仿宋_GB2312" w:hAnsi="仿宋_GB2312" w:eastAsia="仿宋_GB2312" w:cs="仿宋_GB2312"/>
          <w:b/>
          <w:bCs/>
          <w:sz w:val="32"/>
          <w:szCs w:val="32"/>
        </w:rPr>
        <w:t>。</w:t>
      </w:r>
      <w:r>
        <w:rPr>
          <w:rFonts w:hint="eastAsia" w:ascii="楷体" w:hAnsi="楷体" w:eastAsia="楷体" w:cs="仿宋_GB2312"/>
          <w:b/>
          <w:sz w:val="32"/>
          <w:szCs w:val="32"/>
        </w:rPr>
        <w:t>四是超额完成“龙岗第一课”线上培训任务。</w:t>
      </w:r>
      <w:r>
        <w:rPr>
          <w:rFonts w:hint="eastAsia" w:ascii="仿宋_GB2312" w:hAnsi="仿宋_GB2312" w:eastAsia="仿宋_GB2312" w:cs="仿宋_GB2312"/>
          <w:sz w:val="32"/>
          <w:szCs w:val="32"/>
        </w:rPr>
        <w:t>加强联动，周密安排，加强宣传力度，全力发动社区及工厂企业、学校、小区等广泛参与学习，切实提高全民公共安全意识，本年度共完成56827张任务，完成率115.97%。</w:t>
      </w:r>
    </w:p>
    <w:p w14:paraId="28097314">
      <w:pPr>
        <w:ind w:firstLine="640"/>
        <w:jc w:val="left"/>
        <w:rPr>
          <w:rFonts w:ascii="仿宋_GB2312" w:hAnsi="仿宋_GB2312" w:eastAsia="仿宋_GB2312" w:cs="仿宋_GB2312"/>
          <w:sz w:val="32"/>
          <w:szCs w:val="32"/>
        </w:rPr>
      </w:pPr>
      <w:r>
        <w:rPr>
          <w:rFonts w:hint="eastAsia" w:ascii="楷体" w:hAnsi="楷体" w:eastAsia="楷体" w:cs="楷体"/>
          <w:sz w:val="32"/>
          <w:szCs w:val="32"/>
        </w:rPr>
        <w:t>（五）优化网格化管理服务，推进基层综合治理。</w:t>
      </w:r>
      <w:r>
        <w:rPr>
          <w:rFonts w:hint="eastAsia" w:ascii="楷体" w:hAnsi="楷体" w:eastAsia="楷体" w:cs="仿宋_GB2312"/>
          <w:b/>
          <w:sz w:val="32"/>
          <w:szCs w:val="32"/>
        </w:rPr>
        <w:t>一是做好人口信息核查工作。</w:t>
      </w:r>
      <w:r>
        <w:rPr>
          <w:rFonts w:hint="eastAsia" w:ascii="仿宋_GB2312" w:hAnsi="仿宋_GB2312" w:eastAsia="仿宋_GB2312" w:cs="仿宋_GB2312"/>
          <w:sz w:val="32"/>
          <w:szCs w:val="32"/>
        </w:rPr>
        <w:t>全面推进综合体制改革落地，落实“三个一”工程建设，压实网格员八大项职责，夯实网格内出租屋管理服务工作基础，保证基础信息“完整、准确、鲜活”，全面落实流动人口“四实”信息采集核查工作，本年度共采集登记人口数据48836条，注销人口数据51992条，采集法人信息1548条，注销法人信息1311条。</w:t>
      </w:r>
      <w:r>
        <w:rPr>
          <w:rFonts w:hint="eastAsia" w:ascii="楷体" w:hAnsi="楷体" w:eastAsia="楷体" w:cs="仿宋_GB2312"/>
          <w:b/>
          <w:sz w:val="32"/>
          <w:szCs w:val="32"/>
        </w:rPr>
        <w:t>二是关注重点人群信息排查。</w:t>
      </w:r>
      <w:r>
        <w:rPr>
          <w:rFonts w:hint="eastAsia" w:ascii="仿宋_GB2312" w:hAnsi="仿宋_GB2312" w:eastAsia="仿宋_GB2312" w:cs="仿宋_GB2312"/>
          <w:sz w:val="32"/>
          <w:szCs w:val="32"/>
        </w:rPr>
        <w:t>加强关注重点照顾，全面核实辖区升小一、升初一人员名单，主动排查登记65岁以上独居老人信息，做好政策普及和提醒工作，今年共计核查升小一人口信息688条，升初一人口信息704条， 65岁以上独居老人共350位。</w:t>
      </w:r>
      <w:r>
        <w:rPr>
          <w:rFonts w:hint="eastAsia" w:ascii="楷体" w:hAnsi="楷体" w:eastAsia="楷体" w:cs="仿宋_GB2312"/>
          <w:b/>
          <w:sz w:val="32"/>
          <w:szCs w:val="32"/>
        </w:rPr>
        <w:t>三是精准落实，做优经济服务。</w:t>
      </w:r>
      <w:r>
        <w:rPr>
          <w:rFonts w:hint="eastAsia" w:ascii="仿宋_GB2312" w:hAnsi="仿宋_GB2312" w:eastAsia="仿宋_GB2312" w:cs="仿宋_GB2312"/>
          <w:sz w:val="32"/>
          <w:szCs w:val="32"/>
        </w:rPr>
        <w:t>积极配合上级部门，稳步推进 “五经普”清查和人口调查工作完成，组织在辖区规上企业开展国家高新技术和专精特新等企业宣讲会，认真开展固定资产投资项目挖潜线索报送工作，做好企业经济数据摸排工作，推进消费者满意度迎检工作完成。在社区综管员的高效配合下，今年上级下派任务2657家单位企业的普查登记工作已全部完成，共挖掘7条投资达200万及以上项目线索。</w:t>
      </w:r>
    </w:p>
    <w:p w14:paraId="6B548434">
      <w:pPr>
        <w:ind w:firstLine="640" w:firstLineChars="200"/>
        <w:jc w:val="left"/>
        <w:rPr>
          <w:rFonts w:ascii="黑体" w:hAnsi="黑体" w:eastAsia="黑体" w:cs="黑体"/>
          <w:sz w:val="32"/>
          <w:szCs w:val="32"/>
        </w:rPr>
      </w:pPr>
      <w:r>
        <w:rPr>
          <w:rFonts w:hint="eastAsia" w:ascii="黑体" w:hAnsi="黑体" w:eastAsia="黑体" w:cs="黑体"/>
          <w:sz w:val="32"/>
          <w:szCs w:val="32"/>
        </w:rPr>
        <w:t>四、描绘精彩蝶变蓝图，共创绿美平湖新貌</w:t>
      </w:r>
    </w:p>
    <w:p w14:paraId="3F731FDC">
      <w:pPr>
        <w:ind w:firstLine="640" w:firstLineChars="200"/>
        <w:jc w:val="left"/>
        <w:rPr>
          <w:rFonts w:ascii="仿宋_GB2312" w:hAnsi="仿宋_GB2312" w:eastAsia="仿宋_GB2312" w:cs="仿宋_GB2312"/>
          <w:sz w:val="32"/>
          <w:szCs w:val="32"/>
        </w:rPr>
      </w:pPr>
      <w:r>
        <w:rPr>
          <w:rFonts w:hint="eastAsia" w:ascii="楷体" w:hAnsi="楷体" w:eastAsia="楷体" w:cs="楷体"/>
          <w:b/>
          <w:sz w:val="32"/>
          <w:szCs w:val="32"/>
        </w:rPr>
        <w:t>（一）开展“环境品质蝶变年”行动，城市功能品质日趋完善。</w:t>
      </w:r>
      <w:r>
        <w:rPr>
          <w:rFonts w:hint="eastAsia" w:ascii="仿宋_GB2312" w:hAnsi="仿宋_GB2312" w:eastAsia="仿宋_GB2312" w:cs="仿宋_GB2312"/>
          <w:sz w:val="32"/>
          <w:szCs w:val="32"/>
        </w:rPr>
        <w:t>围绕街道蝶变工作部署，聚焦重要片区、重点项目、重点场所，齐头推进“环提专项整治”、“百日行动专项整治”行动，班子成员分片区包框，落实社区市容环境卫生街区制，带队常态化深入一线行走，精准排查城市面貌问题，及时督促整改，不断推进社区四队合一建设与运作，完善环卫队伍业务能力培养建设，切实打造“洁净辅城坳”。2024年，共开展平湖蝶变行动40余次，大刷新大刷洗行动30次，环境长行动40次，日常督导检查环卫工作案件3800余个；开展专项行动260余次、共出动7000余人、整治“十乱一超”40000余处；持续施压，不断督促北控公司、约谈工业园区管理处以及重点商铺门店经营人，开展招牌隐患排查90余次、与1500余家重点商铺门店签订“门前三包”责任书；督促队伍练兵训练30次，开展业务培训52次；切断“登革热”传播链，开展登革热防控行动15次，妥善处置登革热疑似病例2例，开展消杀110余次。</w:t>
      </w:r>
    </w:p>
    <w:p w14:paraId="0C4139D5">
      <w:pPr>
        <w:ind w:firstLine="640" w:firstLineChars="200"/>
        <w:jc w:val="left"/>
        <w:rPr>
          <w:rFonts w:ascii="仿宋_GB2312" w:hAnsi="仿宋_GB2312" w:eastAsia="仿宋_GB2312" w:cs="仿宋_GB2312"/>
          <w:sz w:val="32"/>
          <w:szCs w:val="32"/>
        </w:rPr>
      </w:pPr>
      <w:r>
        <w:rPr>
          <w:rFonts w:hint="eastAsia" w:ascii="楷体" w:hAnsi="楷体" w:eastAsia="楷体" w:cs="仿宋_GB2312"/>
          <w:b/>
          <w:sz w:val="32"/>
          <w:szCs w:val="32"/>
        </w:rPr>
        <w:t>（二）以创建全国文明城市为契机，致力市容环境和城市建设“双提升”。</w:t>
      </w:r>
      <w:r>
        <w:rPr>
          <w:rFonts w:hint="eastAsia" w:ascii="仿宋_GB2312" w:hAnsi="仿宋_GB2312" w:eastAsia="仿宋_GB2312" w:cs="仿宋_GB2312"/>
          <w:sz w:val="32"/>
          <w:szCs w:val="32"/>
        </w:rPr>
        <w:t>全力做好创建全国文明城市冲刺阶段工作，严格对照深圳市2024年全国文明城市创建实地考察点测评标准，查找问题、按标整改、精准创建，街道领导、挂点社区干部及社区班子成员每周对社区文明城市创建10个实地龙岗区样本框进行督导检查，同时大力营造创文氛围，以融湖世纪花园、白虎头小区、岐岭新村作为重点入户对象，2024年共入户宣传600余户，派发文明城市宣传册、宣传单1000余份。</w:t>
      </w:r>
    </w:p>
    <w:p w14:paraId="6949F91A">
      <w:pPr>
        <w:ind w:firstLine="640" w:firstLineChars="200"/>
        <w:jc w:val="left"/>
        <w:rPr>
          <w:rFonts w:ascii="楷体" w:hAnsi="楷体" w:eastAsia="楷体" w:cs="楷体"/>
          <w:sz w:val="32"/>
          <w:szCs w:val="32"/>
        </w:rPr>
      </w:pPr>
      <w:r>
        <w:rPr>
          <w:rFonts w:hint="eastAsia" w:ascii="楷体" w:hAnsi="楷体" w:eastAsia="楷体" w:cs="楷体"/>
          <w:b/>
          <w:sz w:val="32"/>
          <w:szCs w:val="32"/>
        </w:rPr>
        <w:t>（三）坚持党建引领，抓实垃圾分类工作，完善市政基础建设。</w:t>
      </w:r>
      <w:r>
        <w:rPr>
          <w:rFonts w:hint="eastAsia" w:ascii="仿宋_GB2312" w:hAnsi="仿宋_GB2312" w:eastAsia="仿宋_GB2312" w:cs="仿宋_GB2312"/>
          <w:sz w:val="32"/>
          <w:szCs w:val="32"/>
        </w:rPr>
        <w:t>充分发挥党建引领社会力量动员的作用，辖区党员干部和群众力量积极参与垃圾分类志愿服务，组织配合、共同推进，形成工作合力，不断完善生活垃圾分类基层治理体制机制建设，推进垃圾分类工作落实落细。与此同时，充分发挥政府统筹功能，整合有效资源，配合上级部门在白虎头小区开展短板提升工作，在工业区外立面开展刷漆项目，配合开展居民生活用水电燃气价格摸排工作，全面提升辖区居民生活幸福度、居住适宜度。2024年，持续落实垃圾分类工作党委会议“每月一部署”，共开展党员干部垃圾分类督导行动180余次，开展垃圾分类讲课30余次、垃圾分类活动13次，督导7个场所持续进行每日打卡活动；共摸排水电燃气违规加价718栋楼栋，约谈相关房东业主136次，并同步推进水电合表工作。</w:t>
      </w:r>
    </w:p>
    <w:p w14:paraId="3178B349">
      <w:pPr>
        <w:ind w:firstLine="640" w:firstLineChars="200"/>
        <w:jc w:val="left"/>
        <w:rPr>
          <w:rFonts w:ascii="仿宋_GB2312" w:hAnsi="仿宋_GB2312" w:eastAsia="仿宋_GB2312" w:cs="仿宋_GB2312"/>
          <w:sz w:val="32"/>
          <w:szCs w:val="32"/>
        </w:rPr>
      </w:pPr>
      <w:r>
        <w:rPr>
          <w:rFonts w:hint="eastAsia" w:ascii="楷体" w:hAnsi="楷体" w:eastAsia="楷体" w:cs="楷体"/>
          <w:b/>
          <w:sz w:val="32"/>
          <w:szCs w:val="32"/>
        </w:rPr>
        <w:t>（四）聚焦重点水域林域，打造水清路绿生态景观。</w:t>
      </w:r>
      <w:r>
        <w:rPr>
          <w:rFonts w:hint="eastAsia" w:ascii="仿宋_GB2312" w:hAnsi="仿宋_GB2312" w:eastAsia="仿宋_GB2312" w:cs="仿宋_GB2312"/>
          <w:sz w:val="32"/>
          <w:szCs w:val="32"/>
        </w:rPr>
        <w:t>积极贯彻绿美平湖工作要求，认真落实“林长制”“河湖长制”，常态化开展巡河、巡湖、巡林行动，结合涉水面源污染整治和“散乱污”专项整治工作，重点检查河道管理养护、防洪度汛及偷排漏排等，落实辖区范围内森林资源保护发展的各项措施，打造凤岐路“黄花林”一条街，切实提升辖区绿化美化水平。今年以来，持续落实林长、副林长每月巡林机制，共巡林38次、巡河湖120次，发现问题50处，整改48处，未整改问题已上报街道相关部门；完成170余条清单内涉水面源污染问题整改与复查工作，核查160间新注册生产加工类企业；开展生态文明宣传活动3次。</w:t>
      </w:r>
    </w:p>
    <w:p w14:paraId="76452FCD">
      <w:pPr>
        <w:ind w:firstLine="640" w:firstLineChars="200"/>
        <w:jc w:val="left"/>
        <w:rPr>
          <w:rFonts w:ascii="黑体" w:hAnsi="黑体" w:eastAsia="黑体" w:cs="黑体"/>
          <w:sz w:val="32"/>
          <w:szCs w:val="32"/>
        </w:rPr>
      </w:pPr>
      <w:r>
        <w:rPr>
          <w:rFonts w:hint="eastAsia" w:ascii="黑体" w:hAnsi="黑体" w:eastAsia="黑体" w:cs="黑体"/>
          <w:sz w:val="32"/>
          <w:szCs w:val="32"/>
        </w:rPr>
        <w:t>五、秉承民生福祉宗旨，共享惠民发展成果</w:t>
      </w:r>
    </w:p>
    <w:p w14:paraId="405DBA1E">
      <w:pPr>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（一）聚力推进民生工程，办好民生事实。</w:t>
      </w:r>
      <w:r>
        <w:rPr>
          <w:rFonts w:hint="eastAsia" w:ascii="楷体" w:hAnsi="楷体" w:eastAsia="楷体" w:cs="仿宋_GB2312"/>
          <w:b/>
          <w:bCs/>
          <w:sz w:val="32"/>
          <w:szCs w:val="32"/>
        </w:rPr>
        <w:t>一是做好民生微实事工作。</w:t>
      </w:r>
      <w:r>
        <w:rPr>
          <w:rFonts w:hint="eastAsia" w:ascii="仿宋" w:hAnsi="仿宋" w:eastAsia="仿宋"/>
          <w:sz w:val="32"/>
          <w:szCs w:val="32"/>
        </w:rPr>
        <w:t>辅城坳社区2024年“民生微实事</w:t>
      </w:r>
      <w:r>
        <w:rPr>
          <w:rFonts w:hint="eastAsia" w:ascii="微软雅黑" w:hAnsi="微软雅黑" w:eastAsia="微软雅黑" w:cs="微软雅黑"/>
          <w:sz w:val="32"/>
          <w:szCs w:val="32"/>
        </w:rPr>
        <w:t>·</w:t>
      </w:r>
      <w:r>
        <w:rPr>
          <w:rFonts w:hint="eastAsia" w:ascii="仿宋" w:hAnsi="仿宋" w:eastAsia="仿宋"/>
          <w:sz w:val="32"/>
          <w:szCs w:val="32"/>
        </w:rPr>
        <w:t>大盆菜”已申报第一、二批项目共16个，累计申请经费142.6535万元；</w:t>
      </w:r>
      <w:r>
        <w:rPr>
          <w:rFonts w:hint="eastAsia" w:ascii="仿宋_GB2312" w:hAnsi="仿宋_GB2312" w:eastAsia="仿宋_GB2312" w:cs="仿宋_GB2312"/>
          <w:kern w:val="0"/>
          <w:sz w:val="32"/>
          <w:szCs w:val="32"/>
        </w:rPr>
        <w:t>项目服务人群覆盖老年人、青少年儿童、来深建设者及其子女等各类人群，不断增强了群众的幸福感获得感。</w:t>
      </w:r>
      <w:r>
        <w:rPr>
          <w:rFonts w:hint="eastAsia" w:ascii="楷体" w:hAnsi="楷体" w:eastAsia="楷体" w:cs="仿宋_GB2312"/>
          <w:b/>
          <w:bCs/>
          <w:kern w:val="0"/>
          <w:sz w:val="32"/>
          <w:szCs w:val="32"/>
        </w:rPr>
        <w:t>二是推动惠民政策应享尽享。</w:t>
      </w:r>
      <w:r>
        <w:rPr>
          <w:rFonts w:hint="eastAsia" w:ascii="仿宋_GB2312" w:hAnsi="仿宋_GB2312" w:eastAsia="仿宋_GB2312" w:cs="仿宋_GB2312"/>
          <w:sz w:val="32"/>
          <w:szCs w:val="32"/>
        </w:rPr>
        <w:t>推动融湖一期、二期小区业委会筹备组成立，协助物业解决居民问题，更好地维护小区业主和住户的合法权益。广泛宣传</w:t>
      </w:r>
      <w:r>
        <w:rPr>
          <w:rFonts w:hint="eastAsia" w:ascii="仿宋_GB2312" w:hAnsi="仿宋_GB2312" w:eastAsia="仿宋_GB2312" w:cs="仿宋_GB2312"/>
          <w:kern w:val="0"/>
          <w:sz w:val="32"/>
          <w:szCs w:val="32"/>
        </w:rPr>
        <w:t>家装消费品以旧换新及</w:t>
      </w:r>
      <w:r>
        <w:rPr>
          <w:rFonts w:hint="eastAsia" w:ascii="仿宋_GB2312" w:hAnsi="仿宋_GB2312" w:eastAsia="仿宋_GB2312" w:cs="仿宋_GB2312"/>
          <w:sz w:val="32"/>
          <w:szCs w:val="32"/>
        </w:rPr>
        <w:t>住宅装修补贴政策，本年度共收到补贴申请9宗，通过初审5宗。</w:t>
      </w:r>
      <w:r>
        <w:rPr>
          <w:rFonts w:hint="eastAsia" w:ascii="仿宋_GB2312" w:hAnsi="仿宋_GB2312" w:eastAsia="仿宋_GB2312" w:cs="仿宋_GB2312"/>
          <w:kern w:val="0"/>
          <w:sz w:val="32"/>
          <w:szCs w:val="32"/>
        </w:rPr>
        <w:t>社区专员持续提供各项就业创业服务和指导，扩大优惠政策宣传力度，畅通就业服务“最后一公里”。全年社区劳动保障办理户籍退休人员认证168人，失业登记26人，失业保险19人，安置公益性岗位2个。</w:t>
      </w:r>
      <w:r>
        <w:rPr>
          <w:rFonts w:hint="eastAsia" w:ascii="楷体" w:hAnsi="楷体" w:eastAsia="楷体" w:cs="仿宋_GB2312"/>
          <w:b/>
          <w:bCs/>
          <w:kern w:val="0"/>
          <w:sz w:val="32"/>
          <w:szCs w:val="32"/>
        </w:rPr>
        <w:t>三是做好优生健康工程。</w:t>
      </w:r>
      <w:r>
        <w:rPr>
          <w:rFonts w:hint="eastAsia" w:ascii="仿宋_GB2312" w:hAnsi="仿宋_GB2312" w:eastAsia="仿宋_GB2312" w:cs="仿宋_GB2312"/>
          <w:sz w:val="32"/>
          <w:szCs w:val="32"/>
        </w:rPr>
        <w:t>按要求做好龙岗区市民健康素养监测工作，全面落实健康素养监测入户调查，进一步掌握辖区居民健康素养水平,本年度已全面完成746户的走访宣传工作。以“倡新型婚育文化，助家庭和谐幸福”为主题开展宣传服务活动，在“生育关怀携手行，关爱计生困难家庭”募捐活动中募集善款1886元并已转入区进行统筹管理。</w:t>
      </w:r>
    </w:p>
    <w:p w14:paraId="6484D78B">
      <w:pPr>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（二）不折不扣落实民兵武装和退役军人工作。</w:t>
      </w:r>
      <w:r>
        <w:rPr>
          <w:rStyle w:val="18"/>
          <w:rFonts w:hint="eastAsia" w:ascii="楷体" w:hAnsi="楷体" w:eastAsia="楷体" w:cs="仿宋_GB2312"/>
          <w:b/>
          <w:sz w:val="32"/>
          <w:szCs w:val="32"/>
        </w:rPr>
        <w:t>一是狠抓民兵思想建设。</w:t>
      </w:r>
      <w:r>
        <w:rPr>
          <w:rStyle w:val="18"/>
          <w:rFonts w:hint="eastAsia" w:ascii="仿宋_GB2312" w:hAnsi="仿宋_GB2312" w:eastAsia="仿宋_GB2312" w:cs="仿宋_GB2312"/>
          <w:bCs/>
          <w:sz w:val="32"/>
          <w:szCs w:val="32"/>
        </w:rPr>
        <w:t>强化组织领导，发挥党委核心作用，坚持每季度进行一次政治思想教育学习，保证民兵队伍在政治上的合格。</w:t>
      </w:r>
      <w:r>
        <w:rPr>
          <w:rStyle w:val="18"/>
          <w:rFonts w:hint="eastAsia" w:ascii="楷体" w:hAnsi="楷体" w:eastAsia="楷体" w:cs="仿宋_GB2312"/>
          <w:b/>
          <w:sz w:val="32"/>
          <w:szCs w:val="32"/>
        </w:rPr>
        <w:t>二是做好春季和秋季征兵工作。</w:t>
      </w:r>
      <w:r>
        <w:rPr>
          <w:rStyle w:val="18"/>
          <w:rFonts w:hint="eastAsia" w:ascii="仿宋_GB2312" w:hAnsi="仿宋_GB2312" w:eastAsia="仿宋_GB2312" w:cs="仿宋_GB2312"/>
          <w:sz w:val="32"/>
          <w:szCs w:val="32"/>
        </w:rPr>
        <w:t>通过线上线下多渠道宣传，激发适龄青年应征入伍的积极性，走访排查18-24周岁的户籍适龄青年共207人，鼓励动员合适人员积极报名应征，本年度共2名青年顺利通过体检和政治考核光荣入伍。</w:t>
      </w:r>
      <w:r>
        <w:rPr>
          <w:rStyle w:val="18"/>
          <w:rFonts w:hint="eastAsia" w:ascii="楷体" w:hAnsi="楷体" w:eastAsia="楷体" w:cs="仿宋_GB2312"/>
          <w:b/>
          <w:sz w:val="32"/>
          <w:szCs w:val="32"/>
        </w:rPr>
        <w:t>三是</w:t>
      </w:r>
      <w:r>
        <w:rPr>
          <w:rStyle w:val="18"/>
          <w:rFonts w:hint="eastAsia" w:ascii="楷体" w:hAnsi="楷体" w:eastAsia="楷体" w:cs="仿宋_GB2312"/>
          <w:b/>
          <w:bCs/>
          <w:sz w:val="32"/>
          <w:szCs w:val="32"/>
        </w:rPr>
        <w:t>积极开展军民通用设备预征预储工作。</w:t>
      </w:r>
      <w:r>
        <w:rPr>
          <w:rStyle w:val="18"/>
          <w:rFonts w:hint="eastAsia" w:ascii="仿宋_GB2312" w:hAnsi="仿宋_GB2312" w:eastAsia="仿宋_GB2312" w:cs="仿宋_GB2312"/>
          <w:bCs/>
          <w:sz w:val="32"/>
          <w:szCs w:val="32"/>
        </w:rPr>
        <w:t>已完成本年度军民通用设备预征预储工作，预征装备含指挥车1辆，对讲机30台，运输车17辆，挖掘机、吊机各1辆及叉车2辆，维修工具箱2套。</w:t>
      </w:r>
      <w:r>
        <w:rPr>
          <w:rStyle w:val="18"/>
          <w:rFonts w:hint="eastAsia" w:ascii="楷体" w:hAnsi="楷体" w:eastAsia="楷体" w:cs="仿宋_GB2312"/>
          <w:b/>
          <w:bCs/>
          <w:sz w:val="32"/>
          <w:szCs w:val="32"/>
        </w:rPr>
        <w:t>四是做好退役军人服务工作。</w:t>
      </w:r>
      <w:r>
        <w:rPr>
          <w:rFonts w:hint="eastAsia" w:ascii="仿宋_GB2312" w:hAnsi="仿宋_GB2312" w:eastAsia="仿宋_GB2312" w:cs="仿宋_GB2312"/>
          <w:sz w:val="32"/>
          <w:szCs w:val="32"/>
        </w:rPr>
        <w:t>做好四尊崇五关爱六必访工作，积极开展各项慰问工作，为烈士遗属、现役军人、优抚对象、困难退役军人发放慰问金和慰问品，开展志愿服务10场，参与服务26人次、服务群众100人次、服务时长80小时。</w:t>
      </w:r>
    </w:p>
    <w:p w14:paraId="647B0C72">
      <w:pPr>
        <w:ind w:firstLine="640" w:firstLineChars="200"/>
        <w:jc w:val="left"/>
        <w:rPr>
          <w:rFonts w:ascii="仿宋_GB2312" w:hAnsi="仿宋_GB2312" w:eastAsia="仿宋_GB2312" w:cs="仿宋_GB2312"/>
          <w:color w:val="843F0B" w:themeColor="accent2" w:themeShade="80"/>
          <w:sz w:val="32"/>
          <w:szCs w:val="32"/>
        </w:rPr>
      </w:pPr>
      <w:r>
        <w:rPr>
          <w:rFonts w:hint="eastAsia" w:ascii="楷体" w:hAnsi="楷体" w:eastAsia="楷体" w:cs="楷体"/>
          <w:sz w:val="32"/>
          <w:szCs w:val="32"/>
        </w:rPr>
        <w:t>（三）搭建党群</w:t>
      </w:r>
      <w:r>
        <w:rPr>
          <w:rFonts w:ascii="楷体" w:hAnsi="楷体" w:eastAsia="楷体" w:cs="楷体"/>
          <w:sz w:val="32"/>
          <w:szCs w:val="32"/>
        </w:rPr>
        <w:t>“</w:t>
      </w:r>
      <w:r>
        <w:rPr>
          <w:rFonts w:hint="eastAsia" w:ascii="楷体" w:hAnsi="楷体" w:eastAsia="楷体" w:cs="楷体"/>
          <w:sz w:val="32"/>
          <w:szCs w:val="32"/>
        </w:rPr>
        <w:t>连心桥</w:t>
      </w:r>
      <w:r>
        <w:rPr>
          <w:rFonts w:ascii="楷体" w:hAnsi="楷体" w:eastAsia="楷体" w:cs="楷体"/>
          <w:sz w:val="32"/>
          <w:szCs w:val="32"/>
        </w:rPr>
        <w:t>”</w:t>
      </w:r>
      <w:r>
        <w:rPr>
          <w:rFonts w:hint="eastAsia" w:ascii="楷体" w:hAnsi="楷体" w:eastAsia="楷体" w:cs="楷体"/>
          <w:sz w:val="32"/>
          <w:szCs w:val="32"/>
        </w:rPr>
        <w:t>，</w:t>
      </w:r>
      <w:r>
        <w:rPr>
          <w:rFonts w:ascii="楷体" w:hAnsi="楷体" w:eastAsia="楷体" w:cs="楷体"/>
          <w:sz w:val="32"/>
          <w:szCs w:val="32"/>
        </w:rPr>
        <w:t>暖心服务利民生</w:t>
      </w:r>
      <w:r>
        <w:rPr>
          <w:rFonts w:hint="eastAsia" w:ascii="楷体" w:hAnsi="楷体" w:eastAsia="楷体" w:cs="楷体"/>
          <w:sz w:val="32"/>
          <w:szCs w:val="32"/>
        </w:rPr>
        <w:t>。</w:t>
      </w:r>
      <w:r>
        <w:rPr>
          <w:rFonts w:hint="eastAsia" w:ascii="仿宋_GB2312" w:hAnsi="仿宋_GB2312" w:eastAsia="仿宋_GB2312" w:cs="仿宋_GB2312"/>
          <w:sz w:val="32"/>
          <w:szCs w:val="32"/>
        </w:rPr>
        <w:t>充分利用社区资源，建立社区资源联络网，结合新时代文明实践站，以居民需求导向结合社区文化，进一步加强基层宣传思想文化工作和精神文明建设，扎实</w:t>
      </w:r>
      <w:r>
        <w:rPr>
          <w:rFonts w:ascii="仿宋_GB2312" w:hAnsi="仿宋_GB2312" w:eastAsia="仿宋_GB2312" w:cs="仿宋_GB2312"/>
          <w:sz w:val="32"/>
          <w:szCs w:val="32"/>
        </w:rPr>
        <w:t>做好党群服务</w:t>
      </w:r>
      <w:r>
        <w:rPr>
          <w:rFonts w:hint="eastAsia" w:ascii="仿宋_GB2312" w:hAnsi="仿宋_GB2312" w:eastAsia="仿宋_GB2312" w:cs="仿宋_GB2312"/>
          <w:sz w:val="32"/>
          <w:szCs w:val="32"/>
        </w:rPr>
        <w:t>。</w:t>
      </w:r>
      <w:r>
        <w:rPr>
          <w:rStyle w:val="18"/>
          <w:rFonts w:hint="eastAsia" w:ascii="楷体" w:hAnsi="楷体" w:eastAsia="楷体" w:cs="仿宋_GB2312"/>
          <w:b/>
          <w:bCs/>
          <w:sz w:val="32"/>
          <w:szCs w:val="32"/>
        </w:rPr>
        <w:t>一是提升社区精神文明建设。</w:t>
      </w:r>
      <w:r>
        <w:rPr>
          <w:rFonts w:hint="eastAsia" w:ascii="仿宋_GB2312" w:hAnsi="仿宋_GB2312" w:eastAsia="仿宋_GB2312" w:cs="仿宋_GB2312"/>
          <w:sz w:val="32"/>
          <w:szCs w:val="32"/>
        </w:rPr>
        <w:t>积极组织开展“你点我送”公益培训课程各类文艺活动，进一步加快社区图书馆开办，全面排查登记现有健身器材并对老化和损坏的全部进行了更换维修，有效地改善了辖区文化环境。</w:t>
      </w:r>
      <w:r>
        <w:rPr>
          <w:rStyle w:val="18"/>
          <w:rFonts w:hint="eastAsia" w:ascii="楷体" w:hAnsi="楷体" w:eastAsia="楷体" w:cs="仿宋_GB2312"/>
          <w:bCs/>
          <w:sz w:val="32"/>
          <w:szCs w:val="32"/>
        </w:rPr>
        <w:t>二</w:t>
      </w:r>
      <w:r>
        <w:rPr>
          <w:rStyle w:val="18"/>
          <w:rFonts w:hint="eastAsia" w:ascii="楷体" w:hAnsi="楷体" w:eastAsia="楷体" w:cs="仿宋_GB2312"/>
          <w:b/>
          <w:bCs/>
          <w:sz w:val="32"/>
          <w:szCs w:val="32"/>
        </w:rPr>
        <w:t>是关爱特殊群体。</w:t>
      </w:r>
      <w:r>
        <w:rPr>
          <w:rFonts w:hint="eastAsia" w:ascii="仿宋_GB2312" w:hAnsi="仿宋_GB2312" w:eastAsia="仿宋_GB2312" w:cs="仿宋_GB2312"/>
          <w:sz w:val="32"/>
          <w:szCs w:val="32"/>
        </w:rPr>
        <w:t>常态化开展残疾人、老年人、低保低边户等特殊群体关爱帮扶工作，聚焦特殊需求，为符合条件人群申请各项政策补贴福利，开展智能居家适老化改造工作，切实做好民生兜底服务。2024年</w:t>
      </w:r>
      <w:r>
        <w:rPr>
          <w:rFonts w:hint="eastAsia" w:ascii="仿宋_GB2312" w:hAnsi="仿宋_GB2312" w:eastAsia="仿宋_GB2312" w:cs="仿宋_GB2312"/>
          <w:bCs/>
          <w:sz w:val="32"/>
          <w:szCs w:val="32"/>
        </w:rPr>
        <w:t>完成残疾人辅具申请24人，为25名残疾少儿童申请康复救助</w:t>
      </w:r>
      <w:r>
        <w:rPr>
          <w:rFonts w:hint="eastAsia" w:ascii="仿宋_GB2312" w:hAnsi="仿宋_GB2312" w:eastAsia="仿宋_GB2312" w:cs="仿宋_GB2312"/>
          <w:sz w:val="32"/>
          <w:szCs w:val="32"/>
        </w:rPr>
        <w:t>；组建老年志愿者服务队，持续开展</w:t>
      </w:r>
      <w:r>
        <w:rPr>
          <w:rFonts w:ascii="仿宋_GB2312" w:hAnsi="仿宋_GB2312" w:eastAsia="仿宋_GB2312" w:cs="仿宋_GB2312"/>
          <w:sz w:val="32"/>
          <w:szCs w:val="32"/>
        </w:rPr>
        <w:t>助老服务，</w:t>
      </w:r>
      <w:r>
        <w:rPr>
          <w:rFonts w:hint="eastAsia" w:ascii="仿宋_GB2312" w:hAnsi="仿宋_GB2312" w:eastAsia="仿宋_GB2312" w:cs="仿宋_GB2312"/>
          <w:sz w:val="32"/>
          <w:szCs w:val="32"/>
        </w:rPr>
        <w:t>共完成13场活动，服务663人次；共申报20个智能居家适老化改造消费提升专项活动；做好流浪乞讨人员排查工作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本年度共救助流浪人员10人。</w:t>
      </w:r>
      <w:r>
        <w:rPr>
          <w:rStyle w:val="18"/>
          <w:rFonts w:hint="eastAsia" w:ascii="楷体" w:hAnsi="楷体" w:eastAsia="楷体" w:cs="仿宋_GB2312"/>
          <w:b/>
          <w:bCs/>
          <w:sz w:val="32"/>
          <w:szCs w:val="32"/>
        </w:rPr>
        <w:t>三</w:t>
      </w:r>
      <w:r>
        <w:rPr>
          <w:rStyle w:val="18"/>
          <w:rFonts w:ascii="楷体" w:hAnsi="楷体" w:eastAsia="楷体" w:cs="仿宋_GB2312"/>
          <w:b/>
          <w:bCs/>
          <w:sz w:val="32"/>
          <w:szCs w:val="32"/>
        </w:rPr>
        <w:t>是</w:t>
      </w:r>
      <w:r>
        <w:rPr>
          <w:rStyle w:val="18"/>
          <w:rFonts w:hint="eastAsia" w:ascii="楷体" w:hAnsi="楷体" w:eastAsia="楷体" w:cs="仿宋_GB2312"/>
          <w:b/>
          <w:bCs/>
          <w:sz w:val="32"/>
          <w:szCs w:val="32"/>
        </w:rPr>
        <w:t>做好志愿招募工作。</w:t>
      </w:r>
      <w:r>
        <w:rPr>
          <w:rFonts w:hint="eastAsia" w:ascii="仿宋_GB2312" w:hAnsi="仿宋_GB2312" w:eastAsia="仿宋_GB2312" w:cs="仿宋_GB2312"/>
          <w:sz w:val="32"/>
          <w:szCs w:val="32"/>
        </w:rPr>
        <w:t>密切党群关系，推进志愿服务常态化，搭平台、建机制、抓结合，通过发动党员干部、群团组织和社会力量共同参与。全年完成志愿者招募活动共计48场，累计招募志愿者2379人次，120余人参加新义工转正培训活动。</w:t>
      </w:r>
    </w:p>
    <w:p w14:paraId="5B48F76D">
      <w:pPr>
        <w:ind w:right="210" w:rightChars="100"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（四）群团组织彰显活力，发挥共建优势。</w:t>
      </w:r>
      <w:r>
        <w:rPr>
          <w:rFonts w:hint="eastAsia" w:ascii="楷体" w:hAnsi="楷体" w:eastAsia="楷体" w:cs="楷体"/>
          <w:b/>
          <w:sz w:val="32"/>
          <w:szCs w:val="32"/>
        </w:rPr>
        <w:t>一是</w:t>
      </w:r>
      <w:r>
        <w:rPr>
          <w:rStyle w:val="18"/>
          <w:rFonts w:hint="eastAsia" w:ascii="楷体" w:hAnsi="楷体" w:eastAsia="楷体" w:cs="仿宋_GB2312"/>
          <w:b/>
          <w:sz w:val="32"/>
          <w:szCs w:val="32"/>
        </w:rPr>
        <w:t>社区工会。</w:t>
      </w:r>
      <w:r>
        <w:rPr>
          <w:rFonts w:hint="eastAsia" w:ascii="仿宋_GB2312" w:hAnsi="仿宋_GB2312" w:eastAsia="仿宋_GB2312" w:cs="仿宋_GB2312"/>
          <w:sz w:val="32"/>
          <w:szCs w:val="32"/>
        </w:rPr>
        <w:t>深入贯彻中国工会十八大精神，坚持以党建带工建、工建服务党建为抓手，强化服务理念，班子带头上门走访，带动更多企业参与到工会组建工作中来，团结动员辖区广大职工充分发挥工人阶级主力军作用，助力辖区企业构建和谐劳动关系。在今年，社区工会1人荣获全国和谐劳动关系创建先进个人荣誉，社区目前共有单独建会企业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家、工会联合会覆盖企业533家，共完成组建企业工会4家、换届13家，纳入联合会企业</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家；推动工会法律监督委员会、企业调解委员会成立，成功协调解决劳资纠纷9宗。</w:t>
      </w:r>
      <w:r>
        <w:rPr>
          <w:rStyle w:val="18"/>
          <w:rFonts w:hint="eastAsia" w:ascii="楷体" w:hAnsi="楷体" w:eastAsia="楷体" w:cs="仿宋_GB2312"/>
          <w:b/>
          <w:sz w:val="32"/>
          <w:szCs w:val="32"/>
        </w:rPr>
        <w:t>二是社</w:t>
      </w:r>
      <w:r>
        <w:rPr>
          <w:rFonts w:hint="eastAsia" w:ascii="楷体" w:hAnsi="楷体" w:eastAsia="楷体" w:cs="楷体"/>
          <w:b/>
          <w:sz w:val="32"/>
          <w:szCs w:val="32"/>
        </w:rPr>
        <w:t>区团委。</w:t>
      </w:r>
      <w:r>
        <w:rPr>
          <w:rFonts w:hint="eastAsia" w:ascii="仿宋_GB2312" w:hAnsi="仿宋_GB2312" w:eastAsia="仿宋_GB2312" w:cs="仿宋_GB2312"/>
          <w:bCs/>
          <w:sz w:val="32"/>
          <w:szCs w:val="32"/>
        </w:rPr>
        <w:t>围绕党政中心，强化党团组织共建，形成“党建带团建”工作格局，</w:t>
      </w:r>
      <w:r>
        <w:rPr>
          <w:rFonts w:hint="eastAsia" w:ascii="仿宋_GB2312" w:hAnsi="仿宋_GB2312" w:eastAsia="仿宋_GB2312" w:cs="仿宋_GB2312"/>
          <w:sz w:val="32"/>
          <w:szCs w:val="32"/>
        </w:rPr>
        <w:t>通过链接整合资源，开展社区照顾、家庭关系调适、朋辈互助与支持网络等活动，对青少年的成长提供支持服务，今年累计开展相关活动36场，服务约1200人次。</w:t>
      </w:r>
      <w:r>
        <w:rPr>
          <w:rFonts w:hint="eastAsia" w:ascii="楷体" w:hAnsi="楷体" w:eastAsia="楷体" w:cs="楷体"/>
          <w:b/>
          <w:sz w:val="32"/>
          <w:szCs w:val="32"/>
        </w:rPr>
        <w:t>三是社区妇联。</w:t>
      </w:r>
      <w:r>
        <w:rPr>
          <w:rFonts w:hint="eastAsia" w:ascii="仿宋_GB2312" w:hAnsi="仿宋_GB2312" w:eastAsia="仿宋_GB2312" w:cs="仿宋_GB2312"/>
          <w:sz w:val="32"/>
          <w:szCs w:val="32"/>
        </w:rPr>
        <w:t>积极开展“三新”领域妇联组织工作，开展困难家庭、“妇联妈妈”结对帮扶走访慰问，关爱困境妇女儿童等弱势群体，及时跟进妇联信访案件，为辖区妇女、儿童提供法律咨询和援助，营造和谐社会氛围</w:t>
      </w:r>
    </w:p>
    <w:p w14:paraId="4A8A923F">
      <w:pPr>
        <w:ind w:firstLine="640" w:firstLineChars="200"/>
        <w:jc w:val="left"/>
        <w:rPr>
          <w:rFonts w:ascii="黑体" w:hAnsi="黑体" w:eastAsia="黑体" w:cs="黑体"/>
          <w:sz w:val="32"/>
          <w:szCs w:val="32"/>
        </w:rPr>
      </w:pPr>
      <w:r>
        <w:rPr>
          <w:rFonts w:hint="eastAsia" w:ascii="黑体" w:hAnsi="黑体" w:eastAsia="黑体" w:cs="黑体"/>
          <w:sz w:val="32"/>
          <w:szCs w:val="32"/>
        </w:rPr>
        <w:t>六、存在问题和困难</w:t>
      </w:r>
    </w:p>
    <w:p w14:paraId="5624B370">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（一）社区人力资源严重紧缺，我社区应配备聘员名额87人，实际配备聘员仅78人，缺配9人，且缺配时间已有好几年，现有网格71个，一线网格员64名，实际空格共7个，空格比例接近10%。</w:t>
      </w:r>
    </w:p>
    <w:p w14:paraId="4D2289C6">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（二）城中村呈开放式，没有围合管理，市容环境较差，乱摆卖、超线经营、杂物堆放等问题严重，且人员结构复杂，配合度低，治理难度和压力较大。</w:t>
      </w:r>
    </w:p>
    <w:p w14:paraId="3FD04D21">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（三）辖区面积广、人口多，市政基础设施薄弱，工矿商贸、“三小”场所、出租屋数量大，安全隐患错综复杂，安全生产管理任务艰巨，社区面临的综合治理难度大。</w:t>
      </w:r>
    </w:p>
    <w:p w14:paraId="5516A971">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道路交通管理难度较大，受征拆、市政建设等因素影响，道路交通拥堵不堪，尤其是在高峰时段，工业大道、中环大道等道路上，车辆排成长龙，缓慢前行，给市民的日常通勤带来了极大的不便，且市政道路、巷道等区域的违停现象严重，部分车主遵守交规的意识淡薄，不听劝导，违规占道停车，不仅阻碍了居民的正常出入，还给交通安全带来了隐患。</w:t>
      </w:r>
    </w:p>
    <w:p w14:paraId="71808EBE">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基础设施建设短板突出，自辅城坳整村利益统筹项目启动以来，剩下的空间资源有限，工业园区、城中村等区域几乎没有新增基础设施建设，均以修复、修缮为主，且股份合作公司自2017年政企分家以来，对于辖区基础设施建设没有任何资金投入，没有充分发挥属地管理作用，这一系列因素造成了社区基础设施建设的滞后状况。</w:t>
      </w:r>
    </w:p>
    <w:p w14:paraId="07FEDB9B">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插花地”问题长期存在亟需廓清，位于龙岗区平湖街道辅城坳社区与龙华区观湖街道樟坑径社区的边界处，是历史遗留“插花地”，部分房屋管理权属不清，共涉及约23711平方米建筑物，包括17栋楼共708套间。  </w:t>
      </w:r>
    </w:p>
    <w:p w14:paraId="0B6E4613">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征拆片区内的固定资产管理陷入困境，为提升辖区城中村居民的生活质量，引入的如电动自行车充电桩、健身器材等便民类的固定资产往往分布在不同地点，大多数投放在人流量大、人口结构复杂的城中村内，目前部分被投放的城中村已征拆无人居住，管理力度减小，缺乏实时的盘点和清查工作，使得资产的流转和使用无法被及时发现和追踪。</w:t>
      </w:r>
    </w:p>
    <w:p w14:paraId="4D77DB12">
      <w:pPr>
        <w:ind w:right="210" w:righ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岐岭片区旧改占地30万平方米，开发商实力不足，项目推进缓慢，从2011年签订改造合作意向书至今，已过去十几年，一期专规于2023年12月完成公示，待市职能部门正式审批，二期还没推动，严重影响了居民和业主信心，也造成市容环境差的现象。</w:t>
      </w:r>
    </w:p>
    <w:p w14:paraId="5E685F71">
      <w:pPr>
        <w:ind w:firstLine="640" w:firstLineChars="200"/>
        <w:jc w:val="left"/>
        <w:rPr>
          <w:rFonts w:ascii="黑体" w:hAnsi="黑体" w:eastAsia="黑体" w:cs="黑体"/>
          <w:sz w:val="32"/>
          <w:szCs w:val="32"/>
        </w:rPr>
      </w:pPr>
      <w:r>
        <w:rPr>
          <w:rFonts w:hint="eastAsia" w:ascii="黑体" w:hAnsi="黑体" w:eastAsia="黑体" w:cs="黑体"/>
          <w:sz w:val="32"/>
          <w:szCs w:val="32"/>
        </w:rPr>
        <w:t>七、2025年工作思路和安排</w:t>
      </w:r>
    </w:p>
    <w:p w14:paraId="706655F9">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坚持把党的政治建设摆在首位，始终坚持以习近平新时代中国特色社会主义思想为指导，全面贯彻落实党的二十大精神及二十届二中全会、三中全会精神，坚持以党建引领全面工作，强化党委班子队伍建设，严格落实“一岗双责”，把党建工作与社区工作一起谋划、一起部署、一起考核，确保基层党建的各项工作任务不折不扣地落到实处。</w:t>
      </w:r>
    </w:p>
    <w:p w14:paraId="727EDFCE">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持续强化党风廉政建设，时刻把全面从严治党的政治责任扛在肩上、抓在手上，严格执行中央八项规定，纠正“四风”问题，坚定不移深化反腐败斗争，持续聚焦重点领域、重点岗位、关键环节，加强对人、财、物及重大事项的监督跟踪。</w:t>
      </w:r>
    </w:p>
    <w:p w14:paraId="00B57FF6">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区提高站位、扩开视角，找准定位、抢抓机遇，以“一芯两核多支点”区域发展战略为总牵引,利用好整村利益统筹项目的规划，引导支持股份合作公司加快各重大项目落地实施和建设，加大力度推进盛东厂片区利益统筹项目前期工作，加快推进辅城坳—新南社区利益统筹、平湖西片区土整、岐岭片区旧改等项目落地实施，致力引进优质企业，促进产业转型升级，激活高质量发展动能，构建发展新格局。</w:t>
      </w:r>
    </w:p>
    <w:p w14:paraId="54443749">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持续完善安全生产体系，聚焦影响社会稳定、公共安全等重点问题，严格落实安全生产主体责任，要求每位班子成员每周进行实地巡查，深入排查工业园区、老屋村、“插花地”、人员密集场所等重点区域，常态化落实“三小”场所、出租屋、零星工程等安全隐患整治工作，逐栋排查消防通道、天面逃生通道等，强化联合整治，畅通生命通道。</w:t>
      </w:r>
    </w:p>
    <w:p w14:paraId="4865D506">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全力以赴做好交通安全保障工作，紧盯重点路段和区域，严管严控，加强夜间道路交通整治，强化集中充电桩巡查整改，加大交通劝导力度，提高居民交安意识。</w:t>
      </w:r>
    </w:p>
    <w:p w14:paraId="51C772EB">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坚持问题导向，压紧压实责任，强化管控，持续深入开展城市环境品质提升和文明城市创建工作，保障行动成效，严防出现反弹。做好绿美平湖生态文明建设工作，积极推动城市生活垃圾分类、食品安全、志愿者服务、交通劝导等工作，将环境卫生治理提升工作推上一个阶梯，切实提高居民生活品质。</w:t>
      </w:r>
    </w:p>
    <w:p w14:paraId="76743E23">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持续加强网格管理服务，对网格员实行“五一致、四集中、三统一”管理，改进网格管理工作模式，提高综管员思想认识、转变观念，打造一支真抓实干的高素质网格服务尖兵；扎实抓好“四实”信息采集，强化落实“一网统管”工作模式，充分发挥综合网格作用，提升社会治理效能。</w:t>
      </w:r>
    </w:p>
    <w:p w14:paraId="6057CF35">
      <w:pPr>
        <w:ind w:firstLine="640" w:firstLineChars="200"/>
        <w:jc w:val="left"/>
        <w:rPr>
          <w:rFonts w:ascii="仿宋_GB2312" w:hAnsi="仿宋_GB2312" w:eastAsia="微软雅黑" w:cs="仿宋_GB2312"/>
          <w:sz w:val="32"/>
          <w:szCs w:val="32"/>
        </w:rPr>
      </w:pPr>
      <w:r>
        <w:rPr>
          <w:rFonts w:hint="eastAsia" w:ascii="仿宋_GB2312" w:hAnsi="仿宋_GB2312" w:eastAsia="仿宋_GB2312" w:cs="仿宋_GB2312"/>
          <w:sz w:val="32"/>
          <w:szCs w:val="32"/>
        </w:rPr>
        <w:t>（八）全力做好信访维稳工作，全面走访掌握信息动态，加大风险隐患排查，抓好源头化解，加强跟进重点信访人员与事件，强化联合处理，提高效率和质量，加大法治宣传教育力度，提升群众法治意识。</w:t>
      </w:r>
    </w:p>
    <w:p w14:paraId="32843E47">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坚持以人民为中心，进一步提高政务服务质量和服务水平，优化政务服务环境，加快推进政务服务标准化、规范化，铆足劲头，真抓实干，深入开展“民生微实事·大盆菜”工作，有条不紊开展志愿招募、心理关怀、慰问走访等服务工作，切实将服务送到百姓“心窝”里、实事办到百姓“心坎”里。</w:t>
      </w:r>
    </w:p>
    <w:p w14:paraId="524E27F6">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（十）全力以赴做好上级交办的各项工作事务。</w:t>
      </w:r>
    </w:p>
    <w:p w14:paraId="1A0CA2A7">
      <w:pPr>
        <w:pStyle w:val="17"/>
        <w:jc w:val="left"/>
        <w:rPr>
          <w:rFonts w:ascii="仿宋_GB2312" w:hAnsi="仿宋_GB2312" w:eastAsia="仿宋_GB2312" w:cs="仿宋_GB2312"/>
        </w:rPr>
      </w:pPr>
    </w:p>
    <w:p w14:paraId="6E76484D">
      <w:pPr>
        <w:pStyle w:val="17"/>
        <w:jc w:val="left"/>
        <w:rPr>
          <w:rFonts w:ascii="仿宋_GB2312" w:hAnsi="仿宋_GB2312" w:eastAsia="仿宋_GB2312" w:cs="仿宋_GB2312"/>
        </w:rPr>
      </w:pPr>
    </w:p>
    <w:p w14:paraId="7058D2FF">
      <w:pPr>
        <w:pStyle w:val="17"/>
        <w:jc w:val="left"/>
        <w:rPr>
          <w:rFonts w:ascii="仿宋_GB2312" w:hAnsi="仿宋_GB2312" w:eastAsia="仿宋_GB2312" w:cs="仿宋_GB2312"/>
        </w:rPr>
      </w:pPr>
    </w:p>
    <w:p w14:paraId="41ECE1C2">
      <w:pPr>
        <w:pStyle w:val="17"/>
        <w:jc w:val="left"/>
        <w:rPr>
          <w:rFonts w:ascii="仿宋_GB2312" w:hAnsi="仿宋_GB2312" w:eastAsia="仿宋_GB2312" w:cs="仿宋_GB2312"/>
        </w:rPr>
      </w:pPr>
    </w:p>
    <w:p w14:paraId="3FEDFB3B">
      <w:pPr>
        <w:pStyle w:val="17"/>
        <w:jc w:val="left"/>
        <w:rPr>
          <w:rFonts w:ascii="仿宋_GB2312" w:hAnsi="仿宋_GB2312" w:eastAsia="仿宋_GB2312" w:cs="仿宋_GB2312"/>
          <w:sz w:val="32"/>
          <w:szCs w:val="32"/>
        </w:rPr>
      </w:pPr>
    </w:p>
    <w:p w14:paraId="295BF55F">
      <w:pPr>
        <w:pStyle w:val="17"/>
        <w:jc w:val="left"/>
        <w:rPr>
          <w:rFonts w:ascii="仿宋_GB2312" w:hAnsi="仿宋_GB2312" w:eastAsia="仿宋_GB2312" w:cs="仿宋_GB2312"/>
          <w:sz w:val="32"/>
          <w:szCs w:val="32"/>
        </w:rPr>
      </w:pPr>
    </w:p>
    <w:p w14:paraId="619779A8">
      <w:pPr>
        <w:pStyle w:val="17"/>
        <w:jc w:val="left"/>
        <w:rPr>
          <w:rFonts w:ascii="仿宋_GB2312" w:hAnsi="仿宋_GB2312" w:eastAsia="仿宋_GB2312" w:cs="仿宋_GB2312"/>
          <w:sz w:val="32"/>
          <w:szCs w:val="32"/>
        </w:rPr>
      </w:pPr>
    </w:p>
    <w:p w14:paraId="5C2E13C0">
      <w:pPr>
        <w:pStyle w:val="17"/>
        <w:jc w:val="left"/>
        <w:rPr>
          <w:rFonts w:ascii="仿宋_GB2312" w:hAnsi="仿宋_GB2312" w:eastAsia="仿宋_GB2312" w:cs="仿宋_GB2312"/>
          <w:sz w:val="32"/>
          <w:szCs w:val="32"/>
        </w:rPr>
      </w:pPr>
    </w:p>
    <w:p w14:paraId="47CD2746">
      <w:pPr>
        <w:pStyle w:val="17"/>
        <w:jc w:val="left"/>
        <w:rPr>
          <w:rFonts w:ascii="仿宋_GB2312" w:hAnsi="仿宋_GB2312" w:eastAsia="仿宋_GB2312" w:cs="仿宋_GB2312"/>
          <w:sz w:val="32"/>
          <w:szCs w:val="32"/>
        </w:rPr>
      </w:pPr>
    </w:p>
    <w:p w14:paraId="0033393E">
      <w:pPr>
        <w:pStyle w:val="17"/>
        <w:jc w:val="left"/>
        <w:rPr>
          <w:rFonts w:ascii="仿宋_GB2312" w:hAnsi="仿宋_GB2312" w:eastAsia="仿宋_GB2312" w:cs="仿宋_GB2312"/>
          <w:sz w:val="32"/>
          <w:szCs w:val="32"/>
        </w:rPr>
      </w:pPr>
    </w:p>
    <w:p w14:paraId="56EB69BD">
      <w:pPr>
        <w:pStyle w:val="17"/>
        <w:jc w:val="left"/>
        <w:rPr>
          <w:rFonts w:ascii="仿宋_GB2312" w:hAnsi="仿宋_GB2312" w:eastAsia="仿宋_GB2312" w:cs="仿宋_GB2312"/>
          <w:sz w:val="32"/>
          <w:szCs w:val="32"/>
        </w:rPr>
      </w:pPr>
    </w:p>
    <w:p w14:paraId="14632DB1">
      <w:pPr>
        <w:pStyle w:val="17"/>
        <w:jc w:val="left"/>
        <w:rPr>
          <w:rFonts w:ascii="仿宋_GB2312" w:hAnsi="仿宋_GB2312" w:eastAsia="仿宋_GB2312" w:cs="仿宋_GB2312"/>
          <w:sz w:val="32"/>
          <w:szCs w:val="32"/>
        </w:rPr>
      </w:pPr>
    </w:p>
    <w:p w14:paraId="59027B00">
      <w:pPr>
        <w:pStyle w:val="17"/>
        <w:jc w:val="left"/>
        <w:rPr>
          <w:rFonts w:ascii="仿宋_GB2312" w:hAnsi="仿宋_GB2312" w:eastAsia="仿宋_GB2312" w:cs="仿宋_GB2312"/>
        </w:rPr>
      </w:pPr>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E3FA8"/>
    <w:multiLevelType w:val="singleLevel"/>
    <w:tmpl w:val="DB2E3FA8"/>
    <w:lvl w:ilvl="0" w:tentative="0">
      <w:start w:val="1"/>
      <w:numFmt w:val="chineseCounting"/>
      <w:suff w:val="nothing"/>
      <w:lvlText w:val="（%1）"/>
      <w:lvlJc w:val="left"/>
      <w:rPr>
        <w:rFonts w:hint="eastAsia"/>
      </w:rPr>
    </w:lvl>
  </w:abstractNum>
  <w:abstractNum w:abstractNumId="1">
    <w:nsid w:val="62957C02"/>
    <w:multiLevelType w:val="singleLevel"/>
    <w:tmpl w:val="62957C0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YWU0YzQ4MThmZjZiODhjOTQ5YTkxZTYzMDBhY2QifQ=="/>
  </w:docVars>
  <w:rsids>
    <w:rsidRoot w:val="234C0D9B"/>
    <w:rsid w:val="000013C2"/>
    <w:rsid w:val="00001E34"/>
    <w:rsid w:val="00024F90"/>
    <w:rsid w:val="00027C75"/>
    <w:rsid w:val="000317E5"/>
    <w:rsid w:val="00046A00"/>
    <w:rsid w:val="00057084"/>
    <w:rsid w:val="0007053F"/>
    <w:rsid w:val="000B32CB"/>
    <w:rsid w:val="000D74A0"/>
    <w:rsid w:val="00144C7A"/>
    <w:rsid w:val="0014588D"/>
    <w:rsid w:val="00190C59"/>
    <w:rsid w:val="001F50D1"/>
    <w:rsid w:val="00210862"/>
    <w:rsid w:val="00214F54"/>
    <w:rsid w:val="00220766"/>
    <w:rsid w:val="0023329B"/>
    <w:rsid w:val="00236343"/>
    <w:rsid w:val="002434CA"/>
    <w:rsid w:val="00261D96"/>
    <w:rsid w:val="00267069"/>
    <w:rsid w:val="00293FF6"/>
    <w:rsid w:val="0029463D"/>
    <w:rsid w:val="002E4827"/>
    <w:rsid w:val="002E498C"/>
    <w:rsid w:val="003076AA"/>
    <w:rsid w:val="00340791"/>
    <w:rsid w:val="003606E9"/>
    <w:rsid w:val="003676EF"/>
    <w:rsid w:val="0037231A"/>
    <w:rsid w:val="00393830"/>
    <w:rsid w:val="00393B7F"/>
    <w:rsid w:val="003B1104"/>
    <w:rsid w:val="003F36BB"/>
    <w:rsid w:val="00421924"/>
    <w:rsid w:val="00452506"/>
    <w:rsid w:val="00456859"/>
    <w:rsid w:val="004572ED"/>
    <w:rsid w:val="0046384D"/>
    <w:rsid w:val="004755BC"/>
    <w:rsid w:val="0048158C"/>
    <w:rsid w:val="004912F3"/>
    <w:rsid w:val="004A63EC"/>
    <w:rsid w:val="004F09A0"/>
    <w:rsid w:val="00503F9F"/>
    <w:rsid w:val="005113E0"/>
    <w:rsid w:val="005437F6"/>
    <w:rsid w:val="00564446"/>
    <w:rsid w:val="00590E68"/>
    <w:rsid w:val="005B0492"/>
    <w:rsid w:val="005E6759"/>
    <w:rsid w:val="006138F9"/>
    <w:rsid w:val="006358F4"/>
    <w:rsid w:val="006422AF"/>
    <w:rsid w:val="006462D8"/>
    <w:rsid w:val="00673685"/>
    <w:rsid w:val="006A50FC"/>
    <w:rsid w:val="006D399E"/>
    <w:rsid w:val="006E76E3"/>
    <w:rsid w:val="006F0FE4"/>
    <w:rsid w:val="00706A65"/>
    <w:rsid w:val="007205A7"/>
    <w:rsid w:val="00721822"/>
    <w:rsid w:val="00734E30"/>
    <w:rsid w:val="00757FDB"/>
    <w:rsid w:val="007647F0"/>
    <w:rsid w:val="00780BAE"/>
    <w:rsid w:val="007A5221"/>
    <w:rsid w:val="007C2C61"/>
    <w:rsid w:val="007E18C2"/>
    <w:rsid w:val="007F0C69"/>
    <w:rsid w:val="0080044C"/>
    <w:rsid w:val="00814CD4"/>
    <w:rsid w:val="0083495F"/>
    <w:rsid w:val="00840592"/>
    <w:rsid w:val="00840FEA"/>
    <w:rsid w:val="00892ABB"/>
    <w:rsid w:val="008D1F16"/>
    <w:rsid w:val="008E3E78"/>
    <w:rsid w:val="008E470C"/>
    <w:rsid w:val="0092529B"/>
    <w:rsid w:val="009411BE"/>
    <w:rsid w:val="00945B85"/>
    <w:rsid w:val="00952969"/>
    <w:rsid w:val="00977C7E"/>
    <w:rsid w:val="00981D1B"/>
    <w:rsid w:val="009A4633"/>
    <w:rsid w:val="009C3028"/>
    <w:rsid w:val="009C36A4"/>
    <w:rsid w:val="009F24B2"/>
    <w:rsid w:val="00A25602"/>
    <w:rsid w:val="00A350F0"/>
    <w:rsid w:val="00A37CE8"/>
    <w:rsid w:val="00A42A36"/>
    <w:rsid w:val="00A44ECD"/>
    <w:rsid w:val="00A54C50"/>
    <w:rsid w:val="00A84403"/>
    <w:rsid w:val="00A9105F"/>
    <w:rsid w:val="00AA5DB4"/>
    <w:rsid w:val="00AB72F7"/>
    <w:rsid w:val="00AD0F33"/>
    <w:rsid w:val="00AF3EA5"/>
    <w:rsid w:val="00B044FE"/>
    <w:rsid w:val="00B22966"/>
    <w:rsid w:val="00B22E7E"/>
    <w:rsid w:val="00B412FA"/>
    <w:rsid w:val="00B41C54"/>
    <w:rsid w:val="00B61BDE"/>
    <w:rsid w:val="00B653AF"/>
    <w:rsid w:val="00B832BF"/>
    <w:rsid w:val="00BA5F03"/>
    <w:rsid w:val="00BA6D05"/>
    <w:rsid w:val="00BB690A"/>
    <w:rsid w:val="00BC2BF1"/>
    <w:rsid w:val="00BE401A"/>
    <w:rsid w:val="00BE50E1"/>
    <w:rsid w:val="00C02437"/>
    <w:rsid w:val="00C2081D"/>
    <w:rsid w:val="00C86448"/>
    <w:rsid w:val="00CA3E5D"/>
    <w:rsid w:val="00CA65C8"/>
    <w:rsid w:val="00CF2032"/>
    <w:rsid w:val="00CF3B5C"/>
    <w:rsid w:val="00D15460"/>
    <w:rsid w:val="00D20970"/>
    <w:rsid w:val="00D35442"/>
    <w:rsid w:val="00D47AA9"/>
    <w:rsid w:val="00D74E97"/>
    <w:rsid w:val="00D9374A"/>
    <w:rsid w:val="00DD1234"/>
    <w:rsid w:val="00DE160A"/>
    <w:rsid w:val="00E417EC"/>
    <w:rsid w:val="00E44FBF"/>
    <w:rsid w:val="00E51718"/>
    <w:rsid w:val="00E52C69"/>
    <w:rsid w:val="00E768DE"/>
    <w:rsid w:val="00E907BE"/>
    <w:rsid w:val="00EA4F5A"/>
    <w:rsid w:val="00EB000B"/>
    <w:rsid w:val="00ED0F40"/>
    <w:rsid w:val="00ED4568"/>
    <w:rsid w:val="00EF2E56"/>
    <w:rsid w:val="00F1373C"/>
    <w:rsid w:val="00F64270"/>
    <w:rsid w:val="00F85436"/>
    <w:rsid w:val="00FE5DA6"/>
    <w:rsid w:val="011B7402"/>
    <w:rsid w:val="01914FFF"/>
    <w:rsid w:val="01CC006B"/>
    <w:rsid w:val="02B72F44"/>
    <w:rsid w:val="03B70A61"/>
    <w:rsid w:val="03E04E54"/>
    <w:rsid w:val="0428233F"/>
    <w:rsid w:val="04511305"/>
    <w:rsid w:val="04D83C1C"/>
    <w:rsid w:val="05724471"/>
    <w:rsid w:val="08247E4A"/>
    <w:rsid w:val="08667FEF"/>
    <w:rsid w:val="09B04F39"/>
    <w:rsid w:val="0A6D53C7"/>
    <w:rsid w:val="0C5865E2"/>
    <w:rsid w:val="0D264384"/>
    <w:rsid w:val="0D9061BC"/>
    <w:rsid w:val="0E720F1B"/>
    <w:rsid w:val="0E950FD1"/>
    <w:rsid w:val="101C240E"/>
    <w:rsid w:val="10F137AA"/>
    <w:rsid w:val="11DA4CEF"/>
    <w:rsid w:val="12536391"/>
    <w:rsid w:val="14E84656"/>
    <w:rsid w:val="170F65F9"/>
    <w:rsid w:val="19417620"/>
    <w:rsid w:val="19D0443F"/>
    <w:rsid w:val="1B44561C"/>
    <w:rsid w:val="1BB50843"/>
    <w:rsid w:val="1BE7270D"/>
    <w:rsid w:val="1CEE3822"/>
    <w:rsid w:val="1D6607C2"/>
    <w:rsid w:val="1EA60131"/>
    <w:rsid w:val="1EC95D60"/>
    <w:rsid w:val="1F384D4C"/>
    <w:rsid w:val="21A13D76"/>
    <w:rsid w:val="21EB5880"/>
    <w:rsid w:val="229639D7"/>
    <w:rsid w:val="234C0D9B"/>
    <w:rsid w:val="24AC35C3"/>
    <w:rsid w:val="25C86FF6"/>
    <w:rsid w:val="26382330"/>
    <w:rsid w:val="265305D6"/>
    <w:rsid w:val="28BF1D03"/>
    <w:rsid w:val="29B22A0B"/>
    <w:rsid w:val="2A0A4AB4"/>
    <w:rsid w:val="2A2F722D"/>
    <w:rsid w:val="2AC51DB9"/>
    <w:rsid w:val="2B174FDD"/>
    <w:rsid w:val="2C7C4857"/>
    <w:rsid w:val="2CA93772"/>
    <w:rsid w:val="2CE74672"/>
    <w:rsid w:val="2D3E61D4"/>
    <w:rsid w:val="2E8332A4"/>
    <w:rsid w:val="2ECB5746"/>
    <w:rsid w:val="2EF248CD"/>
    <w:rsid w:val="2FE025DF"/>
    <w:rsid w:val="308B0773"/>
    <w:rsid w:val="31E65CB4"/>
    <w:rsid w:val="338013B1"/>
    <w:rsid w:val="35284FEE"/>
    <w:rsid w:val="371B48AC"/>
    <w:rsid w:val="37401003"/>
    <w:rsid w:val="37AD480B"/>
    <w:rsid w:val="39585819"/>
    <w:rsid w:val="3AC50A9E"/>
    <w:rsid w:val="3AE05E8A"/>
    <w:rsid w:val="3BD71AA5"/>
    <w:rsid w:val="3C7E33B3"/>
    <w:rsid w:val="3DF23720"/>
    <w:rsid w:val="3E7C42AF"/>
    <w:rsid w:val="3ED27384"/>
    <w:rsid w:val="3FB8568F"/>
    <w:rsid w:val="42383998"/>
    <w:rsid w:val="42CE3730"/>
    <w:rsid w:val="42FB06F2"/>
    <w:rsid w:val="4371389C"/>
    <w:rsid w:val="43A97628"/>
    <w:rsid w:val="46F902D8"/>
    <w:rsid w:val="475A0197"/>
    <w:rsid w:val="48CD1399"/>
    <w:rsid w:val="48DE773B"/>
    <w:rsid w:val="48E71763"/>
    <w:rsid w:val="4A117EB4"/>
    <w:rsid w:val="4C246583"/>
    <w:rsid w:val="4CB82696"/>
    <w:rsid w:val="4D701EB7"/>
    <w:rsid w:val="4E7D0582"/>
    <w:rsid w:val="4EB539D2"/>
    <w:rsid w:val="4F1F10D5"/>
    <w:rsid w:val="4F3B0308"/>
    <w:rsid w:val="50A016D7"/>
    <w:rsid w:val="51093044"/>
    <w:rsid w:val="51A96596"/>
    <w:rsid w:val="51F04287"/>
    <w:rsid w:val="535B1A3B"/>
    <w:rsid w:val="53F6194A"/>
    <w:rsid w:val="5487759C"/>
    <w:rsid w:val="552C4622"/>
    <w:rsid w:val="55C36D6D"/>
    <w:rsid w:val="55E236B3"/>
    <w:rsid w:val="56A40F33"/>
    <w:rsid w:val="57296E67"/>
    <w:rsid w:val="57D90409"/>
    <w:rsid w:val="58525E77"/>
    <w:rsid w:val="586050BC"/>
    <w:rsid w:val="5BE94741"/>
    <w:rsid w:val="5C0E5A78"/>
    <w:rsid w:val="5C8011CB"/>
    <w:rsid w:val="60B81A3B"/>
    <w:rsid w:val="62D346DD"/>
    <w:rsid w:val="63472F3C"/>
    <w:rsid w:val="64806B36"/>
    <w:rsid w:val="65AC2C8D"/>
    <w:rsid w:val="670F7C17"/>
    <w:rsid w:val="68106009"/>
    <w:rsid w:val="690C7A11"/>
    <w:rsid w:val="69B71C70"/>
    <w:rsid w:val="6B42697B"/>
    <w:rsid w:val="6C5E72BF"/>
    <w:rsid w:val="6CA30728"/>
    <w:rsid w:val="6D43005F"/>
    <w:rsid w:val="6E223F47"/>
    <w:rsid w:val="6E60446E"/>
    <w:rsid w:val="6E874B14"/>
    <w:rsid w:val="6FF50516"/>
    <w:rsid w:val="71031AEC"/>
    <w:rsid w:val="720D312E"/>
    <w:rsid w:val="723F671C"/>
    <w:rsid w:val="735F3066"/>
    <w:rsid w:val="738711DB"/>
    <w:rsid w:val="7406108A"/>
    <w:rsid w:val="74B72375"/>
    <w:rsid w:val="7533412B"/>
    <w:rsid w:val="755B65BE"/>
    <w:rsid w:val="75A2353B"/>
    <w:rsid w:val="760F3CBE"/>
    <w:rsid w:val="763711FF"/>
    <w:rsid w:val="770B00EC"/>
    <w:rsid w:val="77E87941"/>
    <w:rsid w:val="788C2380"/>
    <w:rsid w:val="791E08B7"/>
    <w:rsid w:val="7BEA0DF3"/>
    <w:rsid w:val="7CAC335E"/>
    <w:rsid w:val="7D8A1808"/>
    <w:rsid w:val="7E0D7B14"/>
    <w:rsid w:val="7F603248"/>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annotation text"/>
    <w:basedOn w:val="1"/>
    <w:link w:val="23"/>
    <w:qFormat/>
    <w:uiPriority w:val="0"/>
    <w:pPr>
      <w:jc w:val="left"/>
    </w:pPr>
  </w:style>
  <w:style w:type="paragraph" w:styleId="6">
    <w:name w:val="Plain Text"/>
    <w:basedOn w:val="1"/>
    <w:qFormat/>
    <w:uiPriority w:val="0"/>
    <w:rPr>
      <w:rFonts w:ascii="宋体" w:hAnsi="Calibri" w:eastAsia="宋体" w:cs="Courier New"/>
      <w:szCs w:val="21"/>
    </w:rPr>
  </w:style>
  <w:style w:type="paragraph" w:styleId="7">
    <w:name w:val="Balloon Text"/>
    <w:basedOn w:val="1"/>
    <w:link w:val="21"/>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annotation reference"/>
    <w:basedOn w:val="12"/>
    <w:qFormat/>
    <w:uiPriority w:val="0"/>
    <w:rPr>
      <w:sz w:val="21"/>
      <w:szCs w:val="21"/>
    </w:rPr>
  </w:style>
  <w:style w:type="paragraph" w:customStyle="1" w:styleId="16">
    <w:name w:val="_Style 1"/>
    <w:basedOn w:val="1"/>
    <w:qFormat/>
    <w:uiPriority w:val="99"/>
    <w:pPr>
      <w:ind w:firstLine="420" w:firstLineChars="200"/>
    </w:pPr>
    <w:rPr>
      <w:rFonts w:ascii="Calibri" w:hAnsi="Calibri" w:eastAsia="宋体" w:cs="Times New Roman"/>
    </w:rPr>
  </w:style>
  <w:style w:type="paragraph" w:customStyle="1" w:styleId="17">
    <w:name w:val="Plain Text1"/>
    <w:basedOn w:val="1"/>
    <w:qFormat/>
    <w:uiPriority w:val="0"/>
    <w:rPr>
      <w:rFonts w:ascii="宋体" w:hAnsi="Courier New" w:eastAsia="宋体" w:cs="宋体"/>
      <w:szCs w:val="21"/>
    </w:rPr>
  </w:style>
  <w:style w:type="character" w:customStyle="1" w:styleId="18">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19">
    <w:name w:val="页眉 Char"/>
    <w:basedOn w:val="12"/>
    <w:link w:val="9"/>
    <w:qFormat/>
    <w:uiPriority w:val="0"/>
    <w:rPr>
      <w:rFonts w:asciiTheme="minorHAnsi" w:hAnsiTheme="minorHAnsi" w:eastAsiaTheme="minorEastAsia" w:cstheme="minorBidi"/>
      <w:kern w:val="2"/>
      <w:sz w:val="18"/>
      <w:szCs w:val="18"/>
    </w:rPr>
  </w:style>
  <w:style w:type="character" w:customStyle="1" w:styleId="20">
    <w:name w:val="标题 3 Char"/>
    <w:basedOn w:val="12"/>
    <w:link w:val="3"/>
    <w:semiHidden/>
    <w:qFormat/>
    <w:uiPriority w:val="0"/>
    <w:rPr>
      <w:b/>
      <w:bCs/>
      <w:kern w:val="2"/>
      <w:sz w:val="32"/>
      <w:szCs w:val="32"/>
    </w:rPr>
  </w:style>
  <w:style w:type="character" w:customStyle="1" w:styleId="21">
    <w:name w:val="批注框文本 Char"/>
    <w:basedOn w:val="12"/>
    <w:link w:val="7"/>
    <w:qFormat/>
    <w:uiPriority w:val="0"/>
    <w:rPr>
      <w:kern w:val="2"/>
      <w:sz w:val="18"/>
      <w:szCs w:val="18"/>
    </w:rPr>
  </w:style>
  <w:style w:type="paragraph" w:styleId="22">
    <w:name w:val="List Paragraph"/>
    <w:basedOn w:val="1"/>
    <w:unhideWhenUsed/>
    <w:qFormat/>
    <w:uiPriority w:val="99"/>
    <w:pPr>
      <w:ind w:firstLine="420" w:firstLineChars="200"/>
    </w:pPr>
  </w:style>
  <w:style w:type="character" w:customStyle="1" w:styleId="23">
    <w:name w:val="批注文字 Char"/>
    <w:basedOn w:val="12"/>
    <w:link w:val="5"/>
    <w:qFormat/>
    <w:uiPriority w:val="0"/>
    <w:rPr>
      <w:kern w:val="2"/>
      <w:sz w:val="21"/>
      <w:szCs w:val="22"/>
    </w:rPr>
  </w:style>
  <w:style w:type="character" w:customStyle="1" w:styleId="24">
    <w:name w:val="批注主题 Char"/>
    <w:basedOn w:val="23"/>
    <w:link w:val="10"/>
    <w:uiPriority w:val="0"/>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81AD-018E-4027-B0C1-AFE9EF43881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11929</Words>
  <Characters>12361</Characters>
  <Lines>506</Lines>
  <Paragraphs>49</Paragraphs>
  <TotalTime>42</TotalTime>
  <ScaleCrop>false</ScaleCrop>
  <LinksUpToDate>false</LinksUpToDate>
  <CharactersWithSpaces>12403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2024-11-29T05:43:00Z</dcterms:created>
  <dc:creator>酷柴。</dc:creator>
  <cp:lastModifiedBy>Euphoria</cp:lastModifiedBy>
  <cp:lastPrinted>2024-11-29T03:20:00Z</cp:lastPrinted>
  <dcterms:modified xsi:type="dcterms:W3CDTF">2025-09-15T09:00:23Z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51AC682DE6BB4F1C8B46F650F9BB9F99_13</vt:lpwstr>
  </property>
  <property fmtid="{D5CDD505-2E9C-101B-9397-08002B2CF9AE}" pid="4" name="KSOTemplateDocerSaveRecord">
    <vt:lpwstr>eyJoZGlkIjoiOTc3M2Y5NzIzMDFlZjAyY2Q4Njk5ODkyYjFjNzBiNTQiLCJ1c2VySWQiOiIzMDQyNzY3OTUifQ==</vt:lpwstr>
  </property>
</Properties>
</file>