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471"/>
        <w:gridCol w:w="1939"/>
        <w:gridCol w:w="3141"/>
      </w:tblGrid>
      <w:tr w14:paraId="35987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0D5EAD62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项目名称</w:t>
            </w:r>
          </w:p>
        </w:tc>
        <w:tc>
          <w:tcPr>
            <w:tcW w:w="7551" w:type="dxa"/>
            <w:gridSpan w:val="3"/>
            <w:noWrap w:val="0"/>
            <w:vAlign w:val="center"/>
          </w:tcPr>
          <w:p w14:paraId="06BB8D72">
            <w:pPr>
              <w:widowControl w:val="0"/>
              <w:spacing w:line="50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沙浦社区“全民乐动，健康同行”篮球系列活动</w:t>
            </w:r>
          </w:p>
        </w:tc>
      </w:tr>
      <w:tr w14:paraId="5E0B7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64A91AC3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申请单位</w:t>
            </w:r>
          </w:p>
        </w:tc>
        <w:tc>
          <w:tcPr>
            <w:tcW w:w="7551" w:type="dxa"/>
            <w:gridSpan w:val="3"/>
            <w:noWrap w:val="0"/>
            <w:vAlign w:val="center"/>
          </w:tcPr>
          <w:p w14:paraId="3719A1AA">
            <w:pPr>
              <w:widowControl w:val="0"/>
              <w:spacing w:line="50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沙浦社区党委</w:t>
            </w:r>
          </w:p>
        </w:tc>
      </w:tr>
      <w:tr w14:paraId="07D3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6A70BCF9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实施主体</w:t>
            </w:r>
          </w:p>
        </w:tc>
        <w:tc>
          <w:tcPr>
            <w:tcW w:w="7551" w:type="dxa"/>
            <w:gridSpan w:val="3"/>
            <w:noWrap w:val="0"/>
            <w:vAlign w:val="center"/>
          </w:tcPr>
          <w:p w14:paraId="14FD7D0C">
            <w:pPr>
              <w:widowControl w:val="0"/>
              <w:spacing w:line="50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沙浦社区党委、沙浦社区居委会</w:t>
            </w:r>
          </w:p>
        </w:tc>
      </w:tr>
      <w:tr w14:paraId="5B758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7C5921C7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联系人</w:t>
            </w:r>
          </w:p>
        </w:tc>
        <w:tc>
          <w:tcPr>
            <w:tcW w:w="2471" w:type="dxa"/>
            <w:noWrap w:val="0"/>
            <w:vAlign w:val="center"/>
          </w:tcPr>
          <w:p w14:paraId="770EA7A2">
            <w:pPr>
              <w:widowControl w:val="0"/>
              <w:spacing w:line="560" w:lineRule="exact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37BA016D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  <w:highlight w:val="none"/>
              </w:rPr>
              <w:t>申请经费</w:t>
            </w:r>
          </w:p>
        </w:tc>
        <w:tc>
          <w:tcPr>
            <w:tcW w:w="3141" w:type="dxa"/>
            <w:noWrap w:val="0"/>
            <w:vAlign w:val="center"/>
          </w:tcPr>
          <w:p w14:paraId="414E7C6F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0"/>
                <w:highlight w:val="yellow"/>
              </w:rPr>
            </w:pPr>
          </w:p>
        </w:tc>
      </w:tr>
      <w:tr w14:paraId="6E7EE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7ED545B2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471" w:type="dxa"/>
            <w:noWrap w:val="0"/>
            <w:vAlign w:val="center"/>
          </w:tcPr>
          <w:p w14:paraId="35E768A4">
            <w:pPr>
              <w:widowControl w:val="0"/>
              <w:spacing w:line="560" w:lineRule="exact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4"/>
                <w:szCs w:val="20"/>
                <w:lang w:val="en-US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2BF4CC9A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  <w:highlight w:val="none"/>
                <w:lang w:eastAsia="zh-CN"/>
              </w:rPr>
              <w:t>项目类型</w:t>
            </w:r>
          </w:p>
        </w:tc>
        <w:tc>
          <w:tcPr>
            <w:tcW w:w="3141" w:type="dxa"/>
            <w:noWrap w:val="0"/>
            <w:vAlign w:val="center"/>
          </w:tcPr>
          <w:p w14:paraId="2F7CDC65">
            <w:pPr>
              <w:widowControl w:val="0"/>
              <w:spacing w:line="50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0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服务类</w:t>
            </w:r>
          </w:p>
        </w:tc>
      </w:tr>
      <w:tr w14:paraId="66684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06974CAA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实施时间</w:t>
            </w:r>
          </w:p>
        </w:tc>
        <w:tc>
          <w:tcPr>
            <w:tcW w:w="2471" w:type="dxa"/>
            <w:noWrap w:val="0"/>
            <w:vAlign w:val="center"/>
          </w:tcPr>
          <w:p w14:paraId="0270F697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2025年5-8月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0"/>
              </w:rPr>
              <w:t xml:space="preserve">       </w:t>
            </w:r>
          </w:p>
        </w:tc>
        <w:tc>
          <w:tcPr>
            <w:tcW w:w="1939" w:type="dxa"/>
            <w:noWrap w:val="0"/>
            <w:vAlign w:val="center"/>
          </w:tcPr>
          <w:p w14:paraId="0BB11A39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实施地点</w:t>
            </w:r>
          </w:p>
        </w:tc>
        <w:tc>
          <w:tcPr>
            <w:tcW w:w="3141" w:type="dxa"/>
            <w:noWrap w:val="0"/>
            <w:vAlign w:val="center"/>
          </w:tcPr>
          <w:p w14:paraId="78FC04F6">
            <w:pPr>
              <w:widowControl w:val="0"/>
              <w:spacing w:line="50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沙浦社区</w:t>
            </w:r>
          </w:p>
        </w:tc>
      </w:tr>
      <w:tr w14:paraId="064D4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7252197F">
            <w:pPr>
              <w:widowControl w:val="0"/>
              <w:spacing w:line="56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申请理由</w:t>
            </w:r>
          </w:p>
        </w:tc>
        <w:tc>
          <w:tcPr>
            <w:tcW w:w="7551" w:type="dxa"/>
            <w:gridSpan w:val="3"/>
            <w:noWrap w:val="0"/>
            <w:vAlign w:val="center"/>
          </w:tcPr>
          <w:p w14:paraId="42086F1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 w:firstLine="480" w:firstLineChars="200"/>
              <w:textAlignment w:val="auto"/>
              <w:rPr>
                <w:rFonts w:hint="eastAsia" w:ascii="仿宋_GB2312" w:hAnsi="仿宋_GB2312" w:eastAsia="宋体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随着国家全民健身战略的深入实施与居民健康意识的持续增强，沙浦社区内的体育活动氛围变得愈发活跃，居民对体育运动的热情达到了前所未有的高度。篮球，作为一项深受社区居民喜爱的传统运动项目，凭借其独特的竞技魅力和广泛的参与度，在居民心中占据了重要位置。居民们对篮球技能提升的内在需求和对健康生活的深切向往。篮球不仅能够锻炼身体，增强心肺功能和协调性，还能在比赛中体验团队合作的乐趣，培养坚韧不拔的精神品质</w:t>
            </w:r>
            <w:r>
              <w:rPr>
                <w:rFonts w:hint="eastAsia"/>
                <w:lang w:eastAsia="zh-CN"/>
              </w:rPr>
              <w:t>。</w:t>
            </w:r>
          </w:p>
          <w:p w14:paraId="6C4953B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 w:firstLine="480" w:firstLineChars="200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尽管篮球运动在社区内广受欢迎，但现有的活动资源却难以匹配居民日益增长的多元化需求。沙浦社区居民渴望能够在社区内找到专业的篮球资源，以提升个人技能。同时，他们也希望能够有竞技平台，以检验自己的训练成果，与志同道合的朋友进行技艺切磋。这些需求反映了居民对篮球运动的热爱以及对健康生活的追求。针对这一现状，建立一个集专业培训与竞技平台于一体的篮球项目，将能够有效解决或缓解社区内篮球资源供需矛盾的问题。</w:t>
            </w:r>
          </w:p>
          <w:p w14:paraId="2A0B337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 w:val="0"/>
              <w:autoSpaceDN w:val="0"/>
              <w:bidi w:val="0"/>
              <w:spacing w:line="52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鉴于此，沙浦社区决定策划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沙浦社区“全民乐动，健康同行”篮球系列活动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，旨在通过一系列精心设计的篮球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赋能活动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与竞赛活动，搭建一个学习与交流平台，满足居民对篮球运动的热爱与需求，促进身心健康，增强社区凝聚力，共同营造一个积极向上、和谐共融的社区环境。</w:t>
            </w:r>
          </w:p>
        </w:tc>
      </w:tr>
      <w:tr w14:paraId="3F7BF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737E8E42">
            <w:pPr>
              <w:widowControl w:val="0"/>
              <w:spacing w:line="44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项目概述</w:t>
            </w:r>
          </w:p>
          <w:p w14:paraId="57D7BDDB">
            <w:pPr>
              <w:widowControl w:val="0"/>
              <w:spacing w:line="44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（包括项目基本情况介绍、可行性分析、项目效益）</w:t>
            </w:r>
          </w:p>
        </w:tc>
        <w:tc>
          <w:tcPr>
            <w:tcW w:w="7551" w:type="dxa"/>
            <w:gridSpan w:val="3"/>
            <w:noWrap w:val="0"/>
            <w:vAlign w:val="top"/>
          </w:tcPr>
          <w:p w14:paraId="5CE3E130">
            <w:pPr>
              <w:widowControl w:val="0"/>
              <w:numPr>
                <w:ilvl w:val="0"/>
                <w:numId w:val="1"/>
              </w:numPr>
              <w:spacing w:line="50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项目基本情况：</w:t>
            </w:r>
          </w:p>
          <w:p w14:paraId="217024A5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微软雅黑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沙浦社区“全民乐动，健康同行”篮球系列活动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共分为两个系列，第一个系列为篮球赋能活动，计划招募90人，分3个班，每班30人；第二个系列为篮球比赛，计划邀请8支队伍参加比赛，合计总场次16场。通过开展篮球系列活动，搭建一个展示篮球技艺、增进友谊、提升社区凝聚力的平台，同时倡导健康生活方式，推动全民健身运动在社区内的普及和发展。</w:t>
            </w:r>
          </w:p>
          <w:p w14:paraId="2DC86BF3">
            <w:pPr>
              <w:widowControl w:val="0"/>
              <w:spacing w:line="50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2.项目可行性分析：</w:t>
            </w:r>
          </w:p>
          <w:p w14:paraId="5CDD33B7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群众基础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：篮球作为沙浦社区的传统强项，拥有广泛的群众基础，历次活动均获得高度评价，居民参与热情高涨。</w:t>
            </w:r>
          </w:p>
          <w:p w14:paraId="24B39591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组织经验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：社区多次成功举办各类体育赛事，积累了丰富的组织与管理经验，为本计划的顺利实施提供了坚实保障。</w:t>
            </w:r>
          </w:p>
          <w:p w14:paraId="2349CEF4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资源支持：社区拥有完善的篮球场地设施，可确保活动顺利进行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。</w:t>
            </w:r>
          </w:p>
          <w:p w14:paraId="7A013A46">
            <w:pPr>
              <w:widowControl w:val="0"/>
              <w:numPr>
                <w:ilvl w:val="0"/>
                <w:numId w:val="2"/>
              </w:numPr>
              <w:spacing w:line="50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项目效益及目标：</w:t>
            </w:r>
          </w:p>
          <w:p w14:paraId="779F7AA6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项目目标：</w:t>
            </w:r>
          </w:p>
          <w:p w14:paraId="51057D9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 w:hanging="36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1）提升篮球技能与团队协作能力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：通过专业培训，使少儿群体掌握篮球基本技能，提高团队协作能力，促进身心健康全面发展。</w:t>
            </w:r>
          </w:p>
          <w:p w14:paraId="6357491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beforeAutospacing="0" w:after="0" w:afterAutospacing="0" w:line="500" w:lineRule="exact"/>
              <w:ind w:left="0" w:right="0" w:hanging="360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2）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增强社区居民互动与交流：通过篮球比赛活动，增加居民间的互动机会，提升社区凝聚力，构建积极向上的社区体育文化氛围。</w:t>
            </w:r>
          </w:p>
          <w:p w14:paraId="5DB7BCE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beforeAutospacing="0" w:after="0" w:afterAutospacing="0" w:line="500" w:lineRule="exact"/>
              <w:ind w:left="0" w:right="0" w:hanging="360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引导居民参与篮球运动：激发居民对篮球运动的热情，引导更多居民参与到篮球活动中来，享受运动带来的乐趣。</w:t>
            </w:r>
          </w:p>
          <w:p w14:paraId="273D1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项目效益：</w:t>
            </w:r>
          </w:p>
          <w:p w14:paraId="1421FA71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 w:hanging="36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1）短期内提升身体素质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：参与者通过篮球训练与比赛，心肺功能得到增强，体态得到改善，慢性病风险降低。</w:t>
            </w:r>
          </w:p>
          <w:p w14:paraId="5C692F52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beforeAutospacing="0" w:after="0" w:afterAutospacing="0" w:line="500" w:lineRule="exact"/>
              <w:ind w:left="0" w:right="0" w:hanging="360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2）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促进心理健康：篮球活动有助于缓解居民压力，提升幸福感和满意度，对心理健康产生积极影响。</w:t>
            </w:r>
          </w:p>
          <w:p w14:paraId="1DFE9CFA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beforeAutospacing="0" w:after="0" w:afterAutospacing="0" w:line="500" w:lineRule="exact"/>
              <w:ind w:left="0" w:right="0" w:hanging="360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3）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增强社区凝聚力：活动促进居民间的相互了解与支持，增强社区凝聚力，为构建和谐社区环境提供支撑。</w:t>
            </w:r>
          </w:p>
          <w:p w14:paraId="3FA8E1A0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4）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促进社区体育文化繁荣发展：通过持续举办活动，推动社区体育文化的繁荣发展，吸引更多企业和个人关注并支持社区体育事业。</w:t>
            </w:r>
          </w:p>
        </w:tc>
      </w:tr>
      <w:tr w14:paraId="5FA1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36" w:type="dxa"/>
            <w:noWrap w:val="0"/>
            <w:vAlign w:val="center"/>
          </w:tcPr>
          <w:p w14:paraId="183DB30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 xml:space="preserve">实施方案   </w:t>
            </w:r>
          </w:p>
          <w:p w14:paraId="39653E86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spacing w:val="1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0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开展项目的方式方法、采取的措施、具体内容</w:t>
            </w: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0"/>
                <w:szCs w:val="21"/>
              </w:rPr>
              <w:t>）</w:t>
            </w:r>
          </w:p>
        </w:tc>
        <w:tc>
          <w:tcPr>
            <w:tcW w:w="7551" w:type="dxa"/>
            <w:gridSpan w:val="3"/>
            <w:noWrap w:val="0"/>
            <w:vAlign w:val="top"/>
          </w:tcPr>
          <w:p w14:paraId="244E14FE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1.项目服务对象及人数</w:t>
            </w:r>
          </w:p>
          <w:p w14:paraId="4D729B58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该项目以沙浦社区居民为服务对象，开展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沙浦社区“全民乐动，健康同行”篮球系列活动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46场，其中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篮球赋能活动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开展30场，每场活动时长为1.5小时，每场服务30人，共计900人次；而篮球联赛开展16场，以社区居民为服务对象，每场活动时长为1小时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，每场直接服务24人，共计服务384人次，活动总计服务1284人次。</w:t>
            </w:r>
          </w:p>
          <w:p w14:paraId="21933881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项目实施内容</w:t>
            </w:r>
          </w:p>
          <w:p w14:paraId="6A2BC60D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篮球赋能活动</w:t>
            </w:r>
          </w:p>
          <w:p w14:paraId="309EE5F0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宋体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赋能活动计划招募90人，年龄段为6-16岁，分为3个班，每班30人，每个班10节课，每节课90分钟，共计30节课。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活动内容包括拍球、运球、投篮、传球与接球、上篮、转身等，根据社区青少年的学习进度作出相应的调整。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地点为沙浦公园篮球场（场地已整体购买场地险）。</w:t>
            </w:r>
          </w:p>
          <w:p w14:paraId="5FD30394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篮球比赛</w:t>
            </w:r>
          </w:p>
          <w:p w14:paraId="47EBA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本次篮球联赛目标群体为社区居民，比赛地点为沙浦公园篮球场（场地已整体购买场地险），计划邀请不同社区的8支队伍进行比赛，共计进行16场比赛，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比赛分为二个阶段进行:</w:t>
            </w:r>
          </w:p>
          <w:p w14:paraId="3DAB1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第一阶段（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小组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赛）：采用小组循环比赛，一共分成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个组进行小组循环赛，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每组进行六场比赛且每组共有两队胜出两队淘汰，胜出的队伍进入下一轮比赛，淘汰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的队伍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不再进行比赛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小组赛共举行12场，共计淘汰4支队伍，其余的4支队伍将进行下一轮比赛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</w:p>
          <w:p w14:paraId="662D7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第二阶段（决赛）：决赛采用淘汰法决出1-4名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决赛共计举行4场，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采用中国篮球协会审定的最新《篮球规则》及补充的规定解释。</w:t>
            </w:r>
          </w:p>
          <w:p w14:paraId="514EE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活动流程：</w:t>
            </w:r>
          </w:p>
          <w:p w14:paraId="5B7AC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1. 报名阶段：</w:t>
            </w:r>
          </w:p>
          <w:p w14:paraId="2D397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各队组织报名，提交参赛队员名单。</w:t>
            </w:r>
          </w:p>
          <w:p w14:paraId="4C57A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2. 小组赛</w:t>
            </w:r>
          </w:p>
          <w:p w14:paraId="3B427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各参赛队伍进行小组循环赛。</w:t>
            </w:r>
          </w:p>
          <w:p w14:paraId="4D4FE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3. 决赛</w:t>
            </w:r>
          </w:p>
          <w:p w14:paraId="47786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决出最终的冠军、亚军、季军、殿军。</w:t>
            </w:r>
          </w:p>
          <w:p w14:paraId="629B4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4. 颁奖典礼（决赛后）</w:t>
            </w:r>
          </w:p>
          <w:p w14:paraId="153AAD3F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 w:val="0"/>
              <w:autoSpaceDN w:val="0"/>
              <w:bidi w:val="0"/>
              <w:spacing w:line="52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颁发奖杯、证书。</w:t>
            </w:r>
          </w:p>
        </w:tc>
      </w:tr>
      <w:tr w14:paraId="3BCC5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4" w:hRule="atLeast"/>
          <w:jc w:val="center"/>
        </w:trPr>
        <w:tc>
          <w:tcPr>
            <w:tcW w:w="1936" w:type="dxa"/>
            <w:noWrap w:val="0"/>
            <w:vAlign w:val="center"/>
          </w:tcPr>
          <w:p w14:paraId="2BA0F357">
            <w:pPr>
              <w:widowControl w:val="0"/>
              <w:spacing w:line="440" w:lineRule="exact"/>
              <w:jc w:val="center"/>
              <w:rPr>
                <w:sz w:val="32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 w:val="24"/>
                <w:szCs w:val="20"/>
              </w:rPr>
              <w:t>经费预算</w:t>
            </w:r>
          </w:p>
          <w:p w14:paraId="6669709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spacing w:val="1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（包括项目经费预算使用安排）</w:t>
            </w:r>
          </w:p>
        </w:tc>
        <w:tc>
          <w:tcPr>
            <w:tcW w:w="7551" w:type="dxa"/>
            <w:gridSpan w:val="3"/>
            <w:noWrap w:val="0"/>
            <w:vAlign w:val="top"/>
          </w:tcPr>
          <w:p w14:paraId="737C94A3">
            <w:pPr>
              <w:widowControl w:val="0"/>
              <w:spacing w:line="50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该项目预计投入经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，具体支出预算如下：</w:t>
            </w:r>
          </w:p>
          <w:tbl>
            <w:tblPr>
              <w:tblStyle w:val="6"/>
              <w:tblW w:w="7416" w:type="dxa"/>
              <w:tblInd w:w="-5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99"/>
              <w:gridCol w:w="1328"/>
              <w:gridCol w:w="779"/>
              <w:gridCol w:w="701"/>
              <w:gridCol w:w="743"/>
              <w:gridCol w:w="1001"/>
              <w:gridCol w:w="2265"/>
            </w:tblGrid>
            <w:tr w14:paraId="7C56DA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2" w:hRule="atLeast"/>
              </w:trPr>
              <w:tc>
                <w:tcPr>
                  <w:tcW w:w="5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367A5B6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  <w:t>科目</w:t>
                  </w: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0DE7F70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  <w:t>内容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10BDDB5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  <w:t>单价</w:t>
                  </w: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E2C288A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  <w:t>数量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EF22A9F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1AC6FAC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  <w:t>金额（元）</w:t>
                  </w: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9044717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  <w:highlight w:val="none"/>
                      <w:lang w:val="zh-CN"/>
                    </w:rPr>
                    <w:t>备注</w:t>
                  </w:r>
                </w:p>
              </w:tc>
            </w:tr>
            <w:tr w14:paraId="74B18C8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2" w:hRule="exact"/>
              </w:trPr>
              <w:tc>
                <w:tcPr>
                  <w:tcW w:w="59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05DBFF0">
                  <w:pPr>
                    <w:widowControl/>
                    <w:spacing w:line="500" w:lineRule="exact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  <w:t>篮球赋能活动</w:t>
                  </w:r>
                </w:p>
                <w:p w14:paraId="34EBB99E">
                  <w:pPr>
                    <w:widowControl/>
                    <w:spacing w:line="500" w:lineRule="exact"/>
                    <w:jc w:val="both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5348CE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横幅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3A3D35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59A180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1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9F76B1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条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FB27E4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024BA9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  <w:t>5m*0.8m</w:t>
                  </w:r>
                </w:p>
              </w:tc>
            </w:tr>
            <w:tr w14:paraId="258A05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4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1120EA4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4E56D1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篮球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5F19A2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DA5D37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30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A8FB5E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0854E0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58124D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宋体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儿童篮球</w:t>
                  </w: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活动完成后颁发给优秀学员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</w:tc>
            </w:tr>
            <w:tr w14:paraId="792882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8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863F50A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67C99D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专业人员指导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9BF393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2ABCCB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30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13ABEE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节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0E9FCF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23814D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1人，每节课90分钟，持证专业篮球教练</w:t>
                  </w:r>
                </w:p>
              </w:tc>
            </w:tr>
            <w:tr w14:paraId="3941E3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59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1E55C5A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AB6DAF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助理人员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A5E0F8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848248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30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BEB235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节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BF8601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FC048B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1人，每节课90分钟，具有一定篮球基础助理</w:t>
                  </w:r>
                </w:p>
              </w:tc>
            </w:tr>
            <w:tr w14:paraId="383164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exact"/>
              </w:trPr>
              <w:tc>
                <w:tcPr>
                  <w:tcW w:w="599" w:type="dxa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12E169A">
                  <w:pPr>
                    <w:widowControl/>
                    <w:spacing w:line="500" w:lineRule="exact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  <w:t>篮球比赛</w:t>
                  </w: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52BED3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球衣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73CAE2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6601FF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96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175CF2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套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5EF90FD">
                  <w:pPr>
                    <w:keepNext w:val="0"/>
                    <w:keepLines w:val="0"/>
                    <w:pageBreakBefore w:val="0"/>
                    <w:widowControl/>
                    <w:tabs>
                      <w:tab w:val="left" w:pos="592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DC7D93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宋体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8支队伍，每队12套，包含上衣和裤子（含印刷民微logo、每支队名）</w:t>
                  </w:r>
                </w:p>
              </w:tc>
            </w:tr>
            <w:tr w14:paraId="353372E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6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D55BE46">
                  <w:pPr>
                    <w:widowControl/>
                    <w:spacing w:line="500" w:lineRule="exact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529104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背景喷绘布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384E95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3DE0B4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30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3F4096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平方米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0F5DE0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47C1C5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3m*10m</w:t>
                  </w:r>
                </w:p>
              </w:tc>
            </w:tr>
            <w:tr w14:paraId="18B4585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7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4245593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4F2A55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zh-CN" w:eastAsia="zh-CN" w:bidi="ar-SA"/>
                    </w:rPr>
                    <w:t>队名手举牌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52B783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471256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8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7AA180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块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19EA88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10D241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0.8m*0.4m、KT板</w:t>
                  </w:r>
                </w:p>
              </w:tc>
            </w:tr>
            <w:tr w14:paraId="3EC443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84E7A5A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5CFD02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zh-CN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赛事彩刀旗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60B84A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A2F8E3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8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AAB7EE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2"/>
                      <w:szCs w:val="22"/>
                      <w:lang w:val="en-US" w:eastAsia="zh-CN"/>
                    </w:rPr>
                    <w:t>套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507888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DC2234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宋体" w:cs="仿宋"/>
                      <w:color w:val="000000"/>
                      <w:kern w:val="0"/>
                      <w:sz w:val="22"/>
                      <w:szCs w:val="22"/>
                      <w:lang w:val="zh-CN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2.5米高定制彩刀旗及支架、配重</w:t>
                  </w:r>
                </w:p>
              </w:tc>
            </w:tr>
            <w:tr w14:paraId="549CE0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71C9400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F8BAAB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zh-CN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赛事积分板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2D0D75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17A66A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4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C443F7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平方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4630BF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94CA74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2块1m*2mKT板,公示赛程及比赛积分</w:t>
                  </w:r>
                </w:p>
              </w:tc>
            </w:tr>
            <w:tr w14:paraId="67D221D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A3EB018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2F9E01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赛事秩序册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2E56DB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CAC35C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10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410F4B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本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015EF9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AA1E24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28*20.5cm，A4印刷各队队员名单及赛程（每队1本及记分员2本）</w:t>
                  </w:r>
                </w:p>
              </w:tc>
            </w:tr>
            <w:tr w14:paraId="42D1C1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7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843B3CC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6979CE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冠亚季军奖牌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C1CFF9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96FE43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36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2A96EC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块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7ECC81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374C5E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水晶奖牌直径70mm，含丝带，前三名队员得奖牌，每支队伍正式队员12个</w:t>
                  </w:r>
                </w:p>
              </w:tc>
            </w:tr>
            <w:tr w14:paraId="0661D2C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7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1756C3B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115BC0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napToGrid/>
                    <w:spacing w:before="0" w:beforeAutospacing="0" w:after="0" w:afterAutospacing="0"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  <w:t>冠亚季殿奖杯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76F2D2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napToGrid/>
                    <w:spacing w:before="0" w:beforeAutospacing="0" w:after="0" w:afterAutospacing="0"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E6DDEA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napToGrid/>
                    <w:spacing w:before="0" w:beforeAutospacing="0" w:after="0" w:afterAutospacing="0"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  <w:t>4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ABCC46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napToGrid/>
                    <w:spacing w:before="0" w:beforeAutospacing="0" w:after="0" w:afterAutospacing="0"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  <w:t>座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9523E0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napToGrid/>
                    <w:spacing w:before="0" w:beforeAutospacing="0" w:after="0" w:afterAutospacing="0"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B50A19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金属材质，高60cm*宽32cm，前一二三四名分别获得冠亚季殿军奖杯</w:t>
                  </w:r>
                </w:p>
              </w:tc>
            </w:tr>
            <w:tr w14:paraId="25DDBC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0D5DE64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F79F9A9">
                  <w:pPr>
                    <w:widowControl/>
                    <w:snapToGrid w:val="0"/>
                    <w:jc w:val="center"/>
                    <w:rPr>
                      <w:rFonts w:hint="default" w:ascii="仿宋_GB2312" w:hAnsi="仿宋_GB2312" w:eastAsia="仿宋_GB2312" w:cs="仿宋_GB2312"/>
                      <w:bCs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kern w:val="0"/>
                      <w:sz w:val="24"/>
                    </w:rPr>
                    <w:t>体育道德风尚奖</w:t>
                  </w:r>
                  <w:r>
                    <w:rPr>
                      <w:rFonts w:hint="eastAsia" w:ascii="仿宋_GB2312" w:hAnsi="仿宋_GB2312" w:eastAsia="仿宋_GB2312" w:cs="仿宋_GB2312"/>
                      <w:bCs/>
                      <w:kern w:val="0"/>
                      <w:sz w:val="24"/>
                      <w:lang w:val="en-US" w:eastAsia="zh-CN"/>
                    </w:rPr>
                    <w:t>杯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ED2DC2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E7810F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1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F57F50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个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669656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69E0F2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高60cm*宽32cm，</w:t>
                  </w:r>
                  <w:r>
                    <w:rPr>
                      <w:rFonts w:hint="eastAsia" w:ascii="仿宋_GB2312" w:hAnsi="仿宋_GB2312" w:eastAsia="仿宋_GB2312" w:cs="仿宋_GB2312"/>
                      <w:bCs/>
                      <w:kern w:val="0"/>
                      <w:sz w:val="24"/>
                      <w:lang w:val="en-US" w:eastAsia="zh-CN"/>
                    </w:rPr>
                    <w:t>第五名获得体育道德风尚奖</w:t>
                  </w:r>
                </w:p>
              </w:tc>
            </w:tr>
            <w:tr w14:paraId="5821DF1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819F5F0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960C62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优秀团队奖盘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58E87D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7026E9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3AB448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个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54477F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C89247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锌合金，含底座，直径23cm，未获奖队伍颁发奖盘</w:t>
                  </w:r>
                </w:p>
              </w:tc>
            </w:tr>
            <w:tr w14:paraId="439AE05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62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F30B422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A6DA0A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比赛用球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83CF23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napToGrid/>
                    <w:spacing w:before="0" w:beforeAutospacing="0" w:after="0" w:afterAutospacing="0"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i w:val="0"/>
                      <w:caps w:val="0"/>
                      <w:spacing w:val="0"/>
                      <w:w w:val="1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E74F87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4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252A81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个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538F50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21D8CF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宋体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全新</w:t>
                  </w: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比赛专用球，小组赛2个、决赛2个（比赛结束后分发给1-4名，每队一个）</w:t>
                  </w:r>
                </w:p>
              </w:tc>
            </w:tr>
            <w:tr w14:paraId="58F448F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72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FC29545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758A19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小组赛裁判员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530B8E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57A606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24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8516DC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人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DD74EF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4AC3E37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具备专业资质，</w:t>
                  </w: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分组赛12场，每场2人，共24人次，每场60分钟</w:t>
                  </w:r>
                </w:p>
              </w:tc>
            </w:tr>
            <w:tr w14:paraId="243E64E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7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D81B902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00D39C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zh-CN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决赛裁判员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823CA2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15E18C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12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C23146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人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8BA351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9D0EFC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宋体" w:cs="仿宋"/>
                      <w:snapToGrid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具备专业资质，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zh-CN" w:eastAsia="zh-CN" w:bidi="ar"/>
                    </w:rPr>
                    <w:t>决赛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zh-CN" w:eastAsia="zh-CN" w:bidi="ar"/>
                    </w:rPr>
                    <w:t>场，每场3人，共24人次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，每场</w:t>
                  </w: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分钟</w:t>
                  </w:r>
                </w:p>
              </w:tc>
            </w:tr>
            <w:tr w14:paraId="7708D94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7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957B436">
                  <w:pPr>
                    <w:widowControl/>
                    <w:spacing w:line="50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4918C6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记录员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CDD7A4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C44267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32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6B6D12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人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094ED2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98246C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0"/>
                      <w:sz w:val="22"/>
                      <w:szCs w:val="22"/>
                      <w:highlight w:val="yellow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16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zh-CN" w:eastAsia="zh-CN" w:bidi="ar"/>
                    </w:rPr>
                    <w:t>场，每场2人，记录员用于：计分器，犯规次数，得分记录，换人，暂停次数，赛场上所有记录等，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每场</w:t>
                  </w: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分钟</w:t>
                  </w:r>
                </w:p>
              </w:tc>
            </w:tr>
            <w:tr w14:paraId="2317A42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1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691ED8B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3A3308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音响调控师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2064CA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FDA411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2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6AE117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人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361FCB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82F5CC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开幕式与闭幕式</w:t>
                  </w:r>
                </w:p>
              </w:tc>
            </w:tr>
            <w:tr w14:paraId="5350CD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73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FE4DF8D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E633B4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解说人员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1C36BD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908C6C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2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2BE124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人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93A8D4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7B575B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决赛2场，每场</w:t>
                  </w: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lang w:val="en-US" w:eastAsia="zh-CN" w:bidi="ar-SA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分钟</w:t>
                  </w:r>
                </w:p>
              </w:tc>
            </w:tr>
            <w:tr w14:paraId="3EAE9C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4" w:hRule="exact"/>
              </w:trPr>
              <w:tc>
                <w:tcPr>
                  <w:tcW w:w="59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FA19DB7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color w:val="auto"/>
                      <w:kern w:val="0"/>
                      <w:sz w:val="22"/>
                      <w:szCs w:val="22"/>
                      <w:lang w:val="zh-CN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73961B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  <w:t>饮用水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114A3C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51E1D6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  <w:t>64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2C9E43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  <w:t>箱</w:t>
                  </w:r>
                </w:p>
              </w:tc>
              <w:tc>
                <w:tcPr>
                  <w:tcW w:w="10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D74875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default" w:ascii="仿宋" w:hAnsi="仿宋" w:eastAsia="仿宋" w:cs="仿宋"/>
                      <w:snapToGrid w:val="0"/>
                      <w:color w:val="000000"/>
                      <w:kern w:val="2"/>
                      <w:sz w:val="22"/>
                      <w:szCs w:val="22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E2EE323">
                  <w:pPr>
                    <w:widowControl/>
                    <w:adjustRightInd w:val="0"/>
                    <w:snapToGrid w:val="0"/>
                    <w:spacing w:line="340" w:lineRule="exact"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  <w:t>每场每队2箱*2队</w:t>
                  </w:r>
                </w:p>
                <w:p w14:paraId="13DF5613">
                  <w:pPr>
                    <w:widowControl/>
                    <w:adjustRightInd w:val="0"/>
                    <w:snapToGrid w:val="0"/>
                    <w:spacing w:line="340" w:lineRule="exact"/>
                    <w:jc w:val="center"/>
                    <w:rPr>
                      <w:rFonts w:hint="default" w:ascii="仿宋" w:hAnsi="仿宋" w:eastAsia="仿宋" w:cs="仿宋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  <w:t>：64箱</w:t>
                  </w:r>
                  <w:r>
                    <w:rPr>
                      <w:rFonts w:hint="eastAsia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  <w:t>每箱24支360ml</w:t>
                  </w:r>
                </w:p>
                <w:p w14:paraId="3640A5EF">
                  <w:pPr>
                    <w:widowControl/>
                    <w:adjustRightInd w:val="0"/>
                    <w:snapToGrid w:val="0"/>
                    <w:spacing w:line="340" w:lineRule="exact"/>
                    <w:jc w:val="center"/>
                    <w:rPr>
                      <w:rFonts w:hint="eastAsia" w:ascii="仿宋" w:hAnsi="仿宋" w:eastAsia="仿宋" w:cs="仿宋"/>
                      <w:snapToGrid w:val="0"/>
                      <w:color w:val="000000"/>
                      <w:kern w:val="0"/>
                      <w:sz w:val="22"/>
                      <w:szCs w:val="22"/>
                      <w:highlight w:val="none"/>
                      <w:lang w:val="en-US" w:eastAsia="zh-CN" w:bidi="ar"/>
                    </w:rPr>
                  </w:pPr>
                </w:p>
              </w:tc>
            </w:tr>
            <w:tr w14:paraId="5D675CE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4" w:hRule="atLeast"/>
              </w:trPr>
              <w:tc>
                <w:tcPr>
                  <w:tcW w:w="340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34D9B30">
                  <w:pPr>
                    <w:widowControl/>
                    <w:spacing w:line="500" w:lineRule="exact"/>
                    <w:jc w:val="center"/>
                    <w:rPr>
                      <w:rFonts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auto"/>
                      <w:kern w:val="0"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400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3A221A2">
                  <w:pPr>
                    <w:widowControl/>
                    <w:spacing w:line="500" w:lineRule="exact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1AF9744B">
            <w:pPr>
              <w:widowControl w:val="0"/>
              <w:spacing w:line="560" w:lineRule="exact"/>
              <w:jc w:val="both"/>
              <w:rPr>
                <w:rFonts w:ascii="宋体" w:hAnsi="宋体" w:eastAsia="宋体" w:cs="Times New Roman"/>
                <w:snapToGrid w:val="0"/>
                <w:color w:val="000000"/>
                <w:spacing w:val="10"/>
                <w:kern w:val="0"/>
                <w:sz w:val="20"/>
                <w:szCs w:val="21"/>
                <w:lang w:val="en-US" w:eastAsia="zh-CN" w:bidi="ar-SA"/>
              </w:rPr>
            </w:pPr>
          </w:p>
        </w:tc>
      </w:tr>
    </w:tbl>
    <w:p w14:paraId="77EB66A5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6BD3EC"/>
    <w:multiLevelType w:val="singleLevel"/>
    <w:tmpl w:val="F76BD3E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AA1EC11"/>
    <w:multiLevelType w:val="multilevel"/>
    <w:tmpl w:val="2AA1EC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342C7131"/>
    <w:multiLevelType w:val="multilevel"/>
    <w:tmpl w:val="342C71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401AE6AD"/>
    <w:multiLevelType w:val="singleLevel"/>
    <w:tmpl w:val="401AE6A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DE7AD30"/>
    <w:multiLevelType w:val="singleLevel"/>
    <w:tmpl w:val="4DE7AD3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A33AC7B"/>
    <w:multiLevelType w:val="singleLevel"/>
    <w:tmpl w:val="5A33AC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ZmQ5YTAwMTZkOWIxOTQwNTI3YmRjYTNjZTNkY2IifQ=="/>
  </w:docVars>
  <w:rsids>
    <w:rsidRoot w:val="00000000"/>
    <w:rsid w:val="036B0058"/>
    <w:rsid w:val="0D86416D"/>
    <w:rsid w:val="10BC7123"/>
    <w:rsid w:val="15415E49"/>
    <w:rsid w:val="1BC11F07"/>
    <w:rsid w:val="1E0F4567"/>
    <w:rsid w:val="2E8E6F23"/>
    <w:rsid w:val="35E67345"/>
    <w:rsid w:val="46581B7E"/>
    <w:rsid w:val="46BA369B"/>
    <w:rsid w:val="4E7F3B3C"/>
    <w:rsid w:val="5128580B"/>
    <w:rsid w:val="51F519C0"/>
    <w:rsid w:val="5AED2D80"/>
    <w:rsid w:val="62F057B9"/>
    <w:rsid w:val="6C651DFC"/>
    <w:rsid w:val="78993069"/>
    <w:rsid w:val="78B048F7"/>
    <w:rsid w:val="78B058F5"/>
    <w:rsid w:val="7FDDBE40"/>
    <w:rsid w:val="7FFF49EE"/>
    <w:rsid w:val="ADDF193F"/>
    <w:rsid w:val="BCFE8C5F"/>
    <w:rsid w:val="D5FF8223"/>
    <w:rsid w:val="DF7F603D"/>
    <w:rsid w:val="EF7F7348"/>
    <w:rsid w:val="F58F1128"/>
    <w:rsid w:val="F77F5D9E"/>
    <w:rsid w:val="FE5F9AE2"/>
    <w:rsid w:val="FF73E3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_Style 1"/>
    <w:basedOn w:val="1"/>
    <w:next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2745</Words>
  <Characters>2988</Characters>
  <Lines>0</Lines>
  <Paragraphs>0</Paragraphs>
  <TotalTime>1</TotalTime>
  <ScaleCrop>false</ScaleCrop>
  <LinksUpToDate>false</LinksUpToDate>
  <CharactersWithSpaces>3156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2025-01-14T03:17:00Z</dcterms:created>
  <dc:creator>huawei</dc:creator>
  <cp:lastModifiedBy>ZIPANG</cp:lastModifiedBy>
  <cp:lastPrinted>2025-04-29T01:46:00Z</cp:lastPrinted>
  <dcterms:modified xsi:type="dcterms:W3CDTF">2025-05-12T02:02:10Z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eyJoZGlkIjoiMzI5ZTg1MDBmMmM4YzI3NjQ0YTZhM2M0NzY0M2NiYjMiLCJ1c2VySWQiOiIyOTExNzIyNjAifQ==</vt:lpwstr>
  </property>
  <property fmtid="{D5CDD505-2E9C-101B-9397-08002B2CF9AE}" pid="4" name="ICV">
    <vt:lpwstr>8312310C63CA4849B4CA08CF5945036C_13</vt:lpwstr>
  </property>
</Properties>
</file>